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86E58" w14:textId="77777777" w:rsidR="00B97CB7" w:rsidRPr="00F855B1" w:rsidRDefault="00B97CB7" w:rsidP="00F855B1">
      <w:pPr>
        <w:pStyle w:val="Heading2"/>
      </w:pPr>
      <w:r w:rsidRPr="00F855B1">
        <w:t>From the Commissioner</w:t>
      </w:r>
    </w:p>
    <w:p w14:paraId="3BFE25DF" w14:textId="3C8252F7" w:rsidR="00B97CB7" w:rsidRPr="008E7494" w:rsidRDefault="00B97CB7" w:rsidP="00B97CB7">
      <w:r w:rsidRPr="008E7494">
        <w:rPr>
          <w:color w:val="000000"/>
        </w:rPr>
        <w:t>T</w:t>
      </w:r>
      <w:r>
        <w:rPr>
          <w:color w:val="000000"/>
        </w:rPr>
        <w:t xml:space="preserve">he </w:t>
      </w:r>
      <w:r w:rsidR="000E37EE">
        <w:rPr>
          <w:color w:val="000000"/>
        </w:rPr>
        <w:t xml:space="preserve">Family Responsibilities </w:t>
      </w:r>
      <w:r w:rsidR="0067256C">
        <w:rPr>
          <w:color w:val="000000"/>
        </w:rPr>
        <w:t>Commission</w:t>
      </w:r>
      <w:r>
        <w:rPr>
          <w:color w:val="000000"/>
        </w:rPr>
        <w:t xml:space="preserve"> has completed eleven years of operations in the four </w:t>
      </w:r>
      <w:r w:rsidR="002C1AFC">
        <w:rPr>
          <w:color w:val="000000"/>
        </w:rPr>
        <w:t>Cape York W</w:t>
      </w:r>
      <w:r>
        <w:rPr>
          <w:color w:val="000000"/>
        </w:rPr>
        <w:t xml:space="preserve">elfare </w:t>
      </w:r>
      <w:r w:rsidR="002C1AFC">
        <w:rPr>
          <w:color w:val="000000"/>
        </w:rPr>
        <w:t>R</w:t>
      </w:r>
      <w:r>
        <w:rPr>
          <w:color w:val="000000"/>
        </w:rPr>
        <w:t xml:space="preserve">eform </w:t>
      </w:r>
      <w:r w:rsidR="002C1AFC">
        <w:rPr>
          <w:color w:val="000000"/>
        </w:rPr>
        <w:t xml:space="preserve">(CYWR) </w:t>
      </w:r>
      <w:r>
        <w:rPr>
          <w:color w:val="000000"/>
        </w:rPr>
        <w:t xml:space="preserve">communities </w:t>
      </w:r>
      <w:r w:rsidRPr="008E7494">
        <w:rPr>
          <w:color w:val="000000"/>
        </w:rPr>
        <w:t xml:space="preserve">of Aurukun, Coen, Hope Vale and Mossman Gorge, and </w:t>
      </w:r>
      <w:r>
        <w:rPr>
          <w:color w:val="000000"/>
        </w:rPr>
        <w:t xml:space="preserve">five </w:t>
      </w:r>
      <w:r w:rsidRPr="008E7494">
        <w:rPr>
          <w:color w:val="000000"/>
        </w:rPr>
        <w:t>years</w:t>
      </w:r>
      <w:r>
        <w:rPr>
          <w:color w:val="000000"/>
        </w:rPr>
        <w:t xml:space="preserve"> </w:t>
      </w:r>
      <w:r w:rsidRPr="008E7494">
        <w:rPr>
          <w:color w:val="000000"/>
        </w:rPr>
        <w:t>in Doomadgee.</w:t>
      </w:r>
    </w:p>
    <w:p w14:paraId="1FFFB840" w14:textId="3BB051DD" w:rsidR="00B97CB7" w:rsidRDefault="00B97CB7" w:rsidP="00B97CB7">
      <w:pPr>
        <w:rPr>
          <w:color w:val="000000"/>
        </w:rPr>
      </w:pPr>
      <w:r>
        <w:rPr>
          <w:color w:val="000000"/>
        </w:rPr>
        <w:t xml:space="preserve">I have </w:t>
      </w:r>
      <w:r w:rsidRPr="000F29F4">
        <w:rPr>
          <w:color w:val="000000"/>
        </w:rPr>
        <w:t>had the privilege of leading the Commission since our commencement on 1 July 2008, ably assisted since</w:t>
      </w:r>
      <w:r w:rsidR="005B5DF6" w:rsidRPr="000F29F4">
        <w:rPr>
          <w:color w:val="000000"/>
        </w:rPr>
        <w:t xml:space="preserve"> July</w:t>
      </w:r>
      <w:r w:rsidRPr="000F29F4">
        <w:rPr>
          <w:color w:val="000000"/>
        </w:rPr>
        <w:t xml:space="preserve"> 2010 by Deputy Commissioners Jim Brooks</w:t>
      </w:r>
      <w:r w:rsidR="00CD4AD5" w:rsidRPr="000F29F4">
        <w:rPr>
          <w:color w:val="000000"/>
        </w:rPr>
        <w:t>, who</w:t>
      </w:r>
      <w:r w:rsidR="00AB1EEC" w:rsidRPr="000F29F4">
        <w:rPr>
          <w:color w:val="000000"/>
        </w:rPr>
        <w:t>se</w:t>
      </w:r>
      <w:r w:rsidR="00CD4AD5" w:rsidRPr="000F29F4">
        <w:rPr>
          <w:color w:val="000000"/>
        </w:rPr>
        <w:t xml:space="preserve"> </w:t>
      </w:r>
      <w:r w:rsidR="003D0428" w:rsidRPr="000F29F4">
        <w:rPr>
          <w:color w:val="000000"/>
        </w:rPr>
        <w:t>appointment expired</w:t>
      </w:r>
      <w:r w:rsidRPr="000F29F4">
        <w:rPr>
          <w:color w:val="000000"/>
        </w:rPr>
        <w:t xml:space="preserve"> </w:t>
      </w:r>
      <w:r w:rsidR="007A08E7" w:rsidRPr="000F29F4">
        <w:rPr>
          <w:color w:val="000000"/>
        </w:rPr>
        <w:t xml:space="preserve">on 1 </w:t>
      </w:r>
      <w:r w:rsidR="007C6AED" w:rsidRPr="000F29F4">
        <w:rPr>
          <w:color w:val="000000"/>
        </w:rPr>
        <w:t>January</w:t>
      </w:r>
      <w:r w:rsidR="00473114" w:rsidRPr="000F29F4">
        <w:rPr>
          <w:color w:val="000000"/>
        </w:rPr>
        <w:t xml:space="preserve"> </w:t>
      </w:r>
      <w:r w:rsidRPr="000F29F4">
        <w:rPr>
          <w:color w:val="000000"/>
        </w:rPr>
        <w:t>201</w:t>
      </w:r>
      <w:r w:rsidR="007C6AED" w:rsidRPr="000F29F4">
        <w:rPr>
          <w:color w:val="000000"/>
        </w:rPr>
        <w:t>2</w:t>
      </w:r>
      <w:r w:rsidR="00AB1EEC" w:rsidRPr="000F29F4">
        <w:rPr>
          <w:color w:val="000000"/>
        </w:rPr>
        <w:t>,</w:t>
      </w:r>
      <w:r w:rsidRPr="000F29F4">
        <w:rPr>
          <w:color w:val="000000"/>
        </w:rPr>
        <w:t xml:space="preserve"> and Rodney Curtin</w:t>
      </w:r>
      <w:r w:rsidR="00AB1EEC" w:rsidRPr="000F29F4">
        <w:rPr>
          <w:color w:val="000000"/>
        </w:rPr>
        <w:t>,</w:t>
      </w:r>
      <w:r w:rsidRPr="000F29F4">
        <w:rPr>
          <w:color w:val="000000"/>
        </w:rPr>
        <w:t xml:space="preserve"> </w:t>
      </w:r>
      <w:r w:rsidR="00AB1EEC" w:rsidRPr="000F29F4">
        <w:rPr>
          <w:color w:val="000000"/>
        </w:rPr>
        <w:t xml:space="preserve">whose </w:t>
      </w:r>
      <w:r w:rsidR="003D0428" w:rsidRPr="000F29F4">
        <w:rPr>
          <w:color w:val="000000"/>
        </w:rPr>
        <w:t>appointment expired</w:t>
      </w:r>
      <w:r w:rsidRPr="000F29F4">
        <w:rPr>
          <w:color w:val="000000"/>
        </w:rPr>
        <w:t xml:space="preserve"> </w:t>
      </w:r>
      <w:r w:rsidR="00AB1EEC" w:rsidRPr="000F29F4">
        <w:rPr>
          <w:color w:val="000000"/>
        </w:rPr>
        <w:t xml:space="preserve">on </w:t>
      </w:r>
      <w:r w:rsidRPr="000F29F4">
        <w:rPr>
          <w:color w:val="000000"/>
        </w:rPr>
        <w:t>31 December 2018.</w:t>
      </w:r>
      <w:r w:rsidR="001A5D2B" w:rsidRPr="000F29F4">
        <w:rPr>
          <w:color w:val="000000"/>
        </w:rPr>
        <w:t xml:space="preserve"> I</w:t>
      </w:r>
      <w:r w:rsidR="00EB642A" w:rsidRPr="000F29F4">
        <w:rPr>
          <w:color w:val="000000"/>
        </w:rPr>
        <w:t xml:space="preserve"> </w:t>
      </w:r>
      <w:r w:rsidR="001A5D2B" w:rsidRPr="000F29F4">
        <w:rPr>
          <w:color w:val="000000"/>
        </w:rPr>
        <w:t xml:space="preserve">retire </w:t>
      </w:r>
      <w:r w:rsidR="00EB642A" w:rsidRPr="000F29F4">
        <w:rPr>
          <w:color w:val="000000"/>
        </w:rPr>
        <w:t xml:space="preserve">as Commissioner </w:t>
      </w:r>
      <w:r w:rsidR="001A5D2B" w:rsidRPr="000F29F4">
        <w:rPr>
          <w:color w:val="000000"/>
        </w:rPr>
        <w:t xml:space="preserve">on </w:t>
      </w:r>
      <w:r w:rsidR="00A31E20" w:rsidRPr="000F29F4">
        <w:rPr>
          <w:color w:val="000000"/>
        </w:rPr>
        <w:t>1 September</w:t>
      </w:r>
      <w:r w:rsidR="001A5D2B" w:rsidRPr="000F29F4">
        <w:rPr>
          <w:color w:val="000000"/>
        </w:rPr>
        <w:t xml:space="preserve"> 2019.</w:t>
      </w:r>
    </w:p>
    <w:p w14:paraId="2B8DFA9B" w14:textId="070BCDCC" w:rsidR="001A5D2B" w:rsidRDefault="00B97CB7" w:rsidP="00B97CB7">
      <w:pPr>
        <w:rPr>
          <w:color w:val="000000"/>
        </w:rPr>
      </w:pPr>
      <w:r>
        <w:rPr>
          <w:color w:val="000000"/>
        </w:rPr>
        <w:t xml:space="preserve">Since </w:t>
      </w:r>
      <w:r w:rsidRPr="00A02D2F">
        <w:rPr>
          <w:color w:val="000000"/>
        </w:rPr>
        <w:t>1 January my role has been conducted without the support of a Deputy which has limited the occasions I have been able to visit our communities</w:t>
      </w:r>
      <w:r w:rsidR="00F51DB7">
        <w:rPr>
          <w:color w:val="000000"/>
        </w:rPr>
        <w:t>.</w:t>
      </w:r>
    </w:p>
    <w:p w14:paraId="48351CE1" w14:textId="16D8FC20" w:rsidR="001A5D2B" w:rsidRDefault="00B97CB7" w:rsidP="00B97CB7">
      <w:pPr>
        <w:rPr>
          <w:color w:val="000000"/>
        </w:rPr>
      </w:pPr>
      <w:r w:rsidRPr="00A02D2F">
        <w:rPr>
          <w:color w:val="000000"/>
        </w:rPr>
        <w:t>Though fully capable of carrying out their functions and</w:t>
      </w:r>
      <w:r w:rsidR="00B16F6B">
        <w:rPr>
          <w:color w:val="000000"/>
        </w:rPr>
        <w:t xml:space="preserve"> conduct</w:t>
      </w:r>
      <w:r w:rsidR="00170939">
        <w:rPr>
          <w:color w:val="000000"/>
        </w:rPr>
        <w:t>ing</w:t>
      </w:r>
      <w:r w:rsidRPr="00A02D2F">
        <w:rPr>
          <w:color w:val="000000"/>
        </w:rPr>
        <w:t xml:space="preserve"> conferencing, there are frequent occasions where Local Commissioners have sought support and guidance. </w:t>
      </w:r>
    </w:p>
    <w:p w14:paraId="304C39BB" w14:textId="555435EC" w:rsidR="00B97CB7" w:rsidRPr="00A02D2F" w:rsidRDefault="005E33C4" w:rsidP="00B97CB7">
      <w:pPr>
        <w:rPr>
          <w:color w:val="000000"/>
        </w:rPr>
      </w:pPr>
      <w:r>
        <w:rPr>
          <w:color w:val="000000"/>
        </w:rPr>
        <w:t xml:space="preserve">My successor will be required to travel extensively </w:t>
      </w:r>
      <w:r w:rsidR="00C80190">
        <w:rPr>
          <w:color w:val="000000"/>
        </w:rPr>
        <w:t>to</w:t>
      </w:r>
      <w:r>
        <w:rPr>
          <w:color w:val="000000"/>
        </w:rPr>
        <w:t xml:space="preserve"> regularly visit the five communities</w:t>
      </w:r>
      <w:r w:rsidR="00C80190">
        <w:rPr>
          <w:color w:val="000000"/>
        </w:rPr>
        <w:t>,</w:t>
      </w:r>
      <w:r>
        <w:rPr>
          <w:color w:val="000000"/>
        </w:rPr>
        <w:t xml:space="preserve"> not only to become familiar with each</w:t>
      </w:r>
      <w:r w:rsidR="006C306D">
        <w:rPr>
          <w:color w:val="000000"/>
        </w:rPr>
        <w:t>, but to get to know</w:t>
      </w:r>
      <w:r>
        <w:rPr>
          <w:color w:val="000000"/>
        </w:rPr>
        <w:t xml:space="preserve"> the </w:t>
      </w:r>
      <w:r w:rsidR="00B951C8">
        <w:rPr>
          <w:color w:val="000000"/>
        </w:rPr>
        <w:t xml:space="preserve">Local </w:t>
      </w:r>
      <w:r>
        <w:rPr>
          <w:color w:val="000000"/>
        </w:rPr>
        <w:t xml:space="preserve">Commissioners </w:t>
      </w:r>
      <w:r w:rsidR="006C306D">
        <w:rPr>
          <w:color w:val="000000"/>
        </w:rPr>
        <w:t>and proactively</w:t>
      </w:r>
      <w:r>
        <w:rPr>
          <w:color w:val="000000"/>
        </w:rPr>
        <w:t xml:space="preserve"> manage the many and varied challenges facing the </w:t>
      </w:r>
      <w:r w:rsidR="00B951C8">
        <w:rPr>
          <w:color w:val="000000"/>
        </w:rPr>
        <w:t xml:space="preserve">Local </w:t>
      </w:r>
      <w:r>
        <w:rPr>
          <w:color w:val="000000"/>
        </w:rPr>
        <w:t>Commissioners in their work</w:t>
      </w:r>
      <w:r w:rsidR="006C306D">
        <w:rPr>
          <w:color w:val="000000"/>
        </w:rPr>
        <w:t xml:space="preserve">. These challenges </w:t>
      </w:r>
      <w:r>
        <w:rPr>
          <w:color w:val="000000"/>
        </w:rPr>
        <w:t>includ</w:t>
      </w:r>
      <w:r w:rsidR="006C306D">
        <w:rPr>
          <w:color w:val="000000"/>
        </w:rPr>
        <w:t>e</w:t>
      </w:r>
      <w:r>
        <w:rPr>
          <w:color w:val="000000"/>
        </w:rPr>
        <w:t xml:space="preserve"> the </w:t>
      </w:r>
      <w:r w:rsidR="00B97CB7" w:rsidRPr="00A02D2F">
        <w:rPr>
          <w:color w:val="000000"/>
        </w:rPr>
        <w:t xml:space="preserve">performance of service providers, community and family conflicts, dealings with and performance by government officers, </w:t>
      </w:r>
      <w:r w:rsidR="00EB642A">
        <w:rPr>
          <w:color w:val="000000"/>
        </w:rPr>
        <w:t xml:space="preserve">explaining the impact of legislation and </w:t>
      </w:r>
      <w:r w:rsidR="00B97CB7" w:rsidRPr="00A02D2F">
        <w:rPr>
          <w:color w:val="000000"/>
        </w:rPr>
        <w:t>debriefing</w:t>
      </w:r>
      <w:r w:rsidR="00EB642A">
        <w:rPr>
          <w:color w:val="000000"/>
        </w:rPr>
        <w:t xml:space="preserve"> after difficult conferencing sessions. A</w:t>
      </w:r>
      <w:r w:rsidR="006C306D">
        <w:rPr>
          <w:color w:val="000000"/>
        </w:rPr>
        <w:t>dditionally</w:t>
      </w:r>
      <w:r w:rsidR="00EB642A">
        <w:rPr>
          <w:color w:val="000000"/>
        </w:rPr>
        <w:t xml:space="preserve">, the Commissioner is regularly called </w:t>
      </w:r>
      <w:r w:rsidR="006C306D">
        <w:rPr>
          <w:color w:val="000000"/>
        </w:rPr>
        <w:t xml:space="preserve">upon </w:t>
      </w:r>
      <w:r w:rsidR="00EB642A">
        <w:rPr>
          <w:color w:val="000000"/>
        </w:rPr>
        <w:t xml:space="preserve">to assist community members and </w:t>
      </w:r>
      <w:r w:rsidR="00B951C8">
        <w:rPr>
          <w:color w:val="000000"/>
        </w:rPr>
        <w:t xml:space="preserve">Local </w:t>
      </w:r>
      <w:r w:rsidR="00EB642A">
        <w:rPr>
          <w:color w:val="000000"/>
        </w:rPr>
        <w:t xml:space="preserve">Commissioners </w:t>
      </w:r>
      <w:r w:rsidR="00F51DB7">
        <w:rPr>
          <w:color w:val="000000"/>
        </w:rPr>
        <w:t xml:space="preserve">with advice </w:t>
      </w:r>
      <w:r w:rsidR="00EB642A">
        <w:rPr>
          <w:color w:val="000000"/>
        </w:rPr>
        <w:t>on personal matters</w:t>
      </w:r>
      <w:r w:rsidR="00F51DB7">
        <w:rPr>
          <w:color w:val="000000"/>
        </w:rPr>
        <w:t>.</w:t>
      </w:r>
    </w:p>
    <w:p w14:paraId="774F8389" w14:textId="5857795A" w:rsidR="00B97CB7" w:rsidRDefault="00B97CB7" w:rsidP="00B97CB7">
      <w:pPr>
        <w:rPr>
          <w:color w:val="000000"/>
        </w:rPr>
      </w:pPr>
      <w:r w:rsidRPr="00A02D2F">
        <w:rPr>
          <w:color w:val="000000"/>
        </w:rPr>
        <w:t>Availability of advice and continuing in-situ support is essential in my view, as is the opportunity for them to attend at an annual conference of all Commissioners and have access to confidential professional counselling when required. T</w:t>
      </w:r>
      <w:r w:rsidR="00F51DB7">
        <w:rPr>
          <w:color w:val="000000"/>
        </w:rPr>
        <w:t>heir ability to rely o</w:t>
      </w:r>
      <w:r w:rsidR="00F9133C">
        <w:rPr>
          <w:color w:val="000000"/>
        </w:rPr>
        <w:t>n</w:t>
      </w:r>
      <w:r w:rsidR="00F51DB7">
        <w:rPr>
          <w:color w:val="000000"/>
        </w:rPr>
        <w:t xml:space="preserve"> such </w:t>
      </w:r>
      <w:r w:rsidRPr="00A02D2F">
        <w:rPr>
          <w:color w:val="000000"/>
        </w:rPr>
        <w:t>assistance is critical to their ongoing success and development.</w:t>
      </w:r>
    </w:p>
    <w:p w14:paraId="40761F59" w14:textId="0E24FE03" w:rsidR="00B97CB7" w:rsidRDefault="00784129" w:rsidP="00B97CB7">
      <w:pPr>
        <w:rPr>
          <w:color w:val="000000"/>
        </w:rPr>
      </w:pPr>
      <w:r w:rsidRPr="00784129">
        <w:rPr>
          <w:color w:val="000000"/>
        </w:rPr>
        <w:t xml:space="preserve">In November 2018 the </w:t>
      </w:r>
      <w:r w:rsidR="00D807BC">
        <w:rPr>
          <w:color w:val="000000"/>
        </w:rPr>
        <w:t>Australian</w:t>
      </w:r>
      <w:r w:rsidRPr="00784129">
        <w:rPr>
          <w:color w:val="000000"/>
        </w:rPr>
        <w:t xml:space="preserve"> Government announced a </w:t>
      </w:r>
      <w:proofErr w:type="gramStart"/>
      <w:r w:rsidRPr="00784129">
        <w:rPr>
          <w:color w:val="000000"/>
        </w:rPr>
        <w:t>three year</w:t>
      </w:r>
      <w:proofErr w:type="gramEnd"/>
      <w:r w:rsidRPr="00784129">
        <w:rPr>
          <w:color w:val="000000"/>
        </w:rPr>
        <w:t xml:space="preserve"> funding commitment to the FRC from 1 January 2019 to 31 December 2021. The release of these funds is subject to the finalisation of a Memorandum of Understanding with the Queensland Government which is still in negotiations. Consequently</w:t>
      </w:r>
      <w:r w:rsidR="00CA6D77">
        <w:rPr>
          <w:color w:val="000000"/>
        </w:rPr>
        <w:t>,</w:t>
      </w:r>
      <w:r w:rsidRPr="00784129">
        <w:rPr>
          <w:color w:val="000000"/>
        </w:rPr>
        <w:t xml:space="preserve"> the Commission completed this financial year with a deficit of $183,015.</w:t>
      </w:r>
    </w:p>
    <w:p w14:paraId="0E9D677C" w14:textId="77777777" w:rsidR="00B97CB7" w:rsidRPr="002C013C" w:rsidRDefault="00B97CB7" w:rsidP="00F855B1">
      <w:pPr>
        <w:pStyle w:val="Heading3"/>
        <w:rPr>
          <w:i/>
        </w:rPr>
      </w:pPr>
      <w:r w:rsidRPr="002C013C">
        <w:t>Local Commissioners</w:t>
      </w:r>
    </w:p>
    <w:p w14:paraId="4797C4D5" w14:textId="77777777" w:rsidR="00B97CB7" w:rsidRDefault="00B97CB7" w:rsidP="00B97CB7">
      <w:pPr>
        <w:rPr>
          <w:color w:val="000000"/>
        </w:rPr>
      </w:pPr>
      <w:r>
        <w:rPr>
          <w:color w:val="000000"/>
        </w:rPr>
        <w:t>I again acknowledge t</w:t>
      </w:r>
      <w:r w:rsidRPr="008E7494">
        <w:rPr>
          <w:color w:val="000000"/>
        </w:rPr>
        <w:t xml:space="preserve">he women and men who </w:t>
      </w:r>
      <w:r>
        <w:rPr>
          <w:color w:val="000000"/>
        </w:rPr>
        <w:t>are the</w:t>
      </w:r>
      <w:r w:rsidRPr="008E7494">
        <w:rPr>
          <w:color w:val="000000"/>
        </w:rPr>
        <w:t xml:space="preserve"> Local Commissioners</w:t>
      </w:r>
      <w:r>
        <w:rPr>
          <w:color w:val="000000"/>
        </w:rPr>
        <w:t>. They</w:t>
      </w:r>
      <w:r w:rsidRPr="008E7494">
        <w:rPr>
          <w:color w:val="000000"/>
        </w:rPr>
        <w:t xml:space="preserve"> are leaders of outstanding capability who are as comfortable negotiating with bureaucrats and Ministers, as they are meeting with and </w:t>
      </w:r>
      <w:r>
        <w:rPr>
          <w:color w:val="000000"/>
        </w:rPr>
        <w:t>assisting</w:t>
      </w:r>
      <w:r w:rsidRPr="008E7494">
        <w:rPr>
          <w:color w:val="000000"/>
        </w:rPr>
        <w:t xml:space="preserve"> their fellow community members.</w:t>
      </w:r>
    </w:p>
    <w:p w14:paraId="2466EF7B" w14:textId="535B49AA" w:rsidR="003E1F2B" w:rsidRDefault="00B97CB7" w:rsidP="00B97CB7">
      <w:pPr>
        <w:rPr>
          <w:color w:val="000000"/>
        </w:rPr>
      </w:pPr>
      <w:r>
        <w:rPr>
          <w:color w:val="000000"/>
        </w:rPr>
        <w:t xml:space="preserve">They have, however, been perplexed with the unexplained changes in Queensland Government policy concerning the Commission and have been unable to obtain any clarity of detail </w:t>
      </w:r>
      <w:proofErr w:type="gramStart"/>
      <w:r>
        <w:rPr>
          <w:color w:val="000000"/>
        </w:rPr>
        <w:t>in regard to</w:t>
      </w:r>
      <w:proofErr w:type="gramEnd"/>
      <w:r>
        <w:rPr>
          <w:color w:val="000000"/>
        </w:rPr>
        <w:t xml:space="preserve"> that policy.</w:t>
      </w:r>
    </w:p>
    <w:p w14:paraId="7025CE7B" w14:textId="77777777" w:rsidR="003E1F2B" w:rsidRDefault="003E1F2B">
      <w:pPr>
        <w:spacing w:after="160" w:line="259" w:lineRule="auto"/>
        <w:rPr>
          <w:color w:val="000000"/>
        </w:rPr>
      </w:pPr>
      <w:r>
        <w:rPr>
          <w:color w:val="000000"/>
        </w:rPr>
        <w:br w:type="page"/>
      </w:r>
    </w:p>
    <w:p w14:paraId="1BFDFBD5" w14:textId="763D7BB9" w:rsidR="00B97CB7" w:rsidRDefault="00B97CB7" w:rsidP="00B97CB7">
      <w:pPr>
        <w:rPr>
          <w:color w:val="000000"/>
        </w:rPr>
      </w:pPr>
      <w:r w:rsidRPr="005163D7">
        <w:rPr>
          <w:color w:val="000000"/>
        </w:rPr>
        <w:lastRenderedPageBreak/>
        <w:t>In the current year Local Commissioners have</w:t>
      </w:r>
      <w:r w:rsidR="00171741">
        <w:rPr>
          <w:color w:val="000000"/>
        </w:rPr>
        <w:t xml:space="preserve"> independently</w:t>
      </w:r>
      <w:r>
        <w:rPr>
          <w:color w:val="000000"/>
        </w:rPr>
        <w:t xml:space="preserve"> conducted </w:t>
      </w:r>
      <w:r w:rsidRPr="005163D7">
        <w:rPr>
          <w:color w:val="000000"/>
        </w:rPr>
        <w:t xml:space="preserve">most conferences. The </w:t>
      </w:r>
      <w:r>
        <w:rPr>
          <w:color w:val="000000"/>
        </w:rPr>
        <w:t xml:space="preserve">following </w:t>
      </w:r>
      <w:r w:rsidRPr="005163D7">
        <w:rPr>
          <w:color w:val="000000"/>
        </w:rPr>
        <w:t>table shows the</w:t>
      </w:r>
      <w:r>
        <w:rPr>
          <w:color w:val="000000"/>
        </w:rPr>
        <w:t>ir workload.</w:t>
      </w:r>
    </w:p>
    <w:p w14:paraId="79B2CC0E" w14:textId="11E999D9" w:rsidR="00B97CB7" w:rsidRPr="00433A96" w:rsidRDefault="00B97CB7" w:rsidP="00B97CB7">
      <w:pPr>
        <w:widowControl w:val="0"/>
        <w:autoSpaceDE w:val="0"/>
        <w:autoSpaceDN w:val="0"/>
        <w:adjustRightInd w:val="0"/>
        <w:ind w:left="720" w:hanging="720"/>
        <w:rPr>
          <w:rFonts w:ascii="Helvetica" w:hAnsi="Helvetica" w:cs="Helvetica"/>
          <w:b/>
          <w:bCs/>
          <w:sz w:val="17"/>
          <w:szCs w:val="17"/>
          <w:lang w:val="en-US"/>
        </w:rPr>
      </w:pPr>
      <w:r w:rsidRPr="00433A96">
        <w:rPr>
          <w:rFonts w:ascii="Helvetica" w:hAnsi="Helvetica" w:cs="Helvetica"/>
          <w:b/>
          <w:bCs/>
          <w:sz w:val="17"/>
          <w:szCs w:val="17"/>
          <w:lang w:val="en-US"/>
        </w:rPr>
        <w:t>Table 1: The percentage of conferences conducted with Local Commissioners sitting alone by community</w:t>
      </w:r>
      <w:r w:rsidR="008F7C6D">
        <w:rPr>
          <w:rFonts w:ascii="Helvetica" w:hAnsi="Helvetica" w:cs="Helvetica"/>
          <w:b/>
          <w:bCs/>
          <w:sz w:val="17"/>
          <w:szCs w:val="17"/>
          <w:lang w:val="en-US"/>
        </w:rPr>
        <w:br/>
      </w:r>
      <w:r w:rsidRPr="00433A96">
        <w:rPr>
          <w:rFonts w:ascii="Helvetica" w:hAnsi="Helvetica" w:cs="Helvetica"/>
          <w:b/>
          <w:bCs/>
          <w:sz w:val="17"/>
          <w:szCs w:val="17"/>
          <w:lang w:val="en-US"/>
        </w:rPr>
        <w:t>1 July 2018 to 30 June 2019.</w:t>
      </w:r>
    </w:p>
    <w:tbl>
      <w:tblPr>
        <w:tblW w:w="7796" w:type="dxa"/>
        <w:tblInd w:w="342" w:type="dxa"/>
        <w:tblCellMar>
          <w:left w:w="0" w:type="dxa"/>
          <w:right w:w="0" w:type="dxa"/>
        </w:tblCellMar>
        <w:tblLook w:val="04A0" w:firstRow="1" w:lastRow="0" w:firstColumn="1" w:lastColumn="0" w:noHBand="0" w:noVBand="1"/>
      </w:tblPr>
      <w:tblGrid>
        <w:gridCol w:w="1843"/>
        <w:gridCol w:w="1984"/>
        <w:gridCol w:w="1843"/>
        <w:gridCol w:w="2126"/>
      </w:tblGrid>
      <w:tr w:rsidR="00B97CB7" w14:paraId="19F37725" w14:textId="77777777" w:rsidTr="00047560">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B1F55" w14:textId="77777777" w:rsidR="00B97CB7" w:rsidRPr="0049642B" w:rsidRDefault="00B97CB7" w:rsidP="00047560">
            <w:pPr>
              <w:spacing w:after="0"/>
              <w:rPr>
                <w:rFonts w:cs="Arial"/>
                <w:b/>
                <w:bCs/>
                <w:sz w:val="18"/>
                <w:szCs w:val="18"/>
              </w:rPr>
            </w:pPr>
            <w:r w:rsidRPr="0049642B">
              <w:rPr>
                <w:b/>
                <w:bCs/>
                <w:sz w:val="18"/>
                <w:szCs w:val="18"/>
              </w:rPr>
              <w:t>Community</w:t>
            </w:r>
          </w:p>
        </w:tc>
        <w:tc>
          <w:tcPr>
            <w:tcW w:w="1984" w:type="dxa"/>
            <w:tcBorders>
              <w:top w:val="single" w:sz="8" w:space="0" w:color="auto"/>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6BFDEF98" w14:textId="77777777" w:rsidR="00B97CB7" w:rsidRPr="0049642B" w:rsidRDefault="00B97CB7" w:rsidP="00047560">
            <w:pPr>
              <w:spacing w:after="0"/>
              <w:jc w:val="center"/>
              <w:rPr>
                <w:rFonts w:ascii="Calibri" w:hAnsi="Calibri" w:cs="Calibri"/>
                <w:b/>
                <w:bCs/>
                <w:sz w:val="18"/>
                <w:szCs w:val="18"/>
              </w:rPr>
            </w:pPr>
            <w:r w:rsidRPr="0049642B">
              <w:rPr>
                <w:b/>
                <w:bCs/>
                <w:sz w:val="18"/>
                <w:szCs w:val="18"/>
              </w:rPr>
              <w:t>Conferences with Local Commissioners Sitting Alone</w:t>
            </w:r>
          </w:p>
        </w:tc>
        <w:tc>
          <w:tcPr>
            <w:tcW w:w="1843" w:type="dxa"/>
            <w:tcBorders>
              <w:top w:val="single" w:sz="8" w:space="0" w:color="auto"/>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07DD93C2" w14:textId="77777777" w:rsidR="00B97CB7" w:rsidRPr="0049642B" w:rsidRDefault="00B97CB7" w:rsidP="00047560">
            <w:pPr>
              <w:spacing w:after="0"/>
              <w:jc w:val="center"/>
              <w:rPr>
                <w:b/>
                <w:bCs/>
                <w:sz w:val="18"/>
                <w:szCs w:val="18"/>
              </w:rPr>
            </w:pPr>
            <w:r w:rsidRPr="0049642B">
              <w:rPr>
                <w:b/>
                <w:bCs/>
                <w:sz w:val="18"/>
                <w:szCs w:val="18"/>
              </w:rPr>
              <w:t>Total Number of Conferences Held</w:t>
            </w:r>
          </w:p>
        </w:tc>
        <w:tc>
          <w:tcPr>
            <w:tcW w:w="2126" w:type="dxa"/>
            <w:tcBorders>
              <w:top w:val="single" w:sz="8" w:space="0" w:color="auto"/>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5A7A1E91" w14:textId="77777777" w:rsidR="00B97CB7" w:rsidRPr="0049642B" w:rsidRDefault="00B97CB7" w:rsidP="00047560">
            <w:pPr>
              <w:spacing w:after="0"/>
              <w:jc w:val="center"/>
              <w:rPr>
                <w:b/>
                <w:bCs/>
                <w:sz w:val="18"/>
                <w:szCs w:val="18"/>
              </w:rPr>
            </w:pPr>
            <w:r w:rsidRPr="0049642B">
              <w:rPr>
                <w:b/>
                <w:bCs/>
                <w:sz w:val="18"/>
                <w:szCs w:val="18"/>
              </w:rPr>
              <w:t>Percentage of Conferences with Local Commissioners Sitting Alone</w:t>
            </w:r>
          </w:p>
        </w:tc>
      </w:tr>
      <w:tr w:rsidR="00B97CB7" w14:paraId="417B8E6B"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2C2E9172" w14:textId="77777777" w:rsidR="00B97CB7" w:rsidRDefault="00B97CB7" w:rsidP="00047560">
            <w:pPr>
              <w:spacing w:after="0"/>
            </w:pPr>
            <w:r>
              <w:t>Aurukun</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8E9570" w14:textId="77777777" w:rsidR="00B97CB7" w:rsidRPr="0005155A" w:rsidRDefault="00B97CB7" w:rsidP="00047560">
            <w:pPr>
              <w:spacing w:after="0"/>
              <w:jc w:val="right"/>
            </w:pPr>
            <w:r w:rsidRPr="0005155A">
              <w:t>1,066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07A70E" w14:textId="77777777" w:rsidR="00B97CB7" w:rsidRPr="0005155A" w:rsidRDefault="00B97CB7" w:rsidP="00047560">
            <w:pPr>
              <w:spacing w:after="0"/>
              <w:jc w:val="right"/>
            </w:pPr>
            <w:r w:rsidRPr="0005155A">
              <w:t>1,090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A094DD" w14:textId="77777777" w:rsidR="00B97CB7" w:rsidRPr="0005155A" w:rsidRDefault="00B97CB7" w:rsidP="00047560">
            <w:pPr>
              <w:spacing w:after="0"/>
              <w:jc w:val="right"/>
            </w:pPr>
            <w:r w:rsidRPr="0005155A">
              <w:t>97.8%</w:t>
            </w:r>
          </w:p>
        </w:tc>
      </w:tr>
      <w:tr w:rsidR="00B97CB7" w14:paraId="552531C6"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3C137830" w14:textId="0804AB25" w:rsidR="00B97CB7" w:rsidRDefault="00B97CB7" w:rsidP="00047560">
            <w:pPr>
              <w:spacing w:after="0"/>
            </w:pPr>
            <w:r>
              <w:t>Coen</w:t>
            </w:r>
            <w:r w:rsidR="00CB6723" w:rsidRPr="00A87B7C">
              <w:rPr>
                <w:vertAlign w:val="superscript"/>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F690B2" w14:textId="77777777" w:rsidR="00B97CB7" w:rsidRPr="0005155A" w:rsidRDefault="00B97CB7" w:rsidP="00047560">
            <w:pPr>
              <w:spacing w:after="0"/>
              <w:jc w:val="right"/>
            </w:pPr>
            <w:r w:rsidRPr="0005155A">
              <w:t>34</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19CC89" w14:textId="77777777" w:rsidR="00B97CB7" w:rsidRPr="0005155A" w:rsidRDefault="00B97CB7" w:rsidP="00047560">
            <w:pPr>
              <w:spacing w:after="0"/>
              <w:jc w:val="right"/>
            </w:pPr>
            <w:r w:rsidRPr="0005155A">
              <w:t>79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C895BD" w14:textId="77777777" w:rsidR="00B97CB7" w:rsidRPr="0005155A" w:rsidRDefault="00B97CB7" w:rsidP="00047560">
            <w:pPr>
              <w:spacing w:after="0"/>
              <w:jc w:val="right"/>
            </w:pPr>
            <w:r w:rsidRPr="0005155A">
              <w:t>43.</w:t>
            </w:r>
            <w:r>
              <w:t>0</w:t>
            </w:r>
            <w:r w:rsidRPr="0005155A">
              <w:t>%</w:t>
            </w:r>
          </w:p>
        </w:tc>
      </w:tr>
      <w:tr w:rsidR="00B97CB7" w14:paraId="1F020120"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0EF36907" w14:textId="77777777" w:rsidR="00B97CB7" w:rsidRDefault="00B97CB7" w:rsidP="00047560">
            <w:pPr>
              <w:spacing w:after="0"/>
            </w:pPr>
            <w:r>
              <w:t>Doomadgee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10DAD4" w14:textId="77777777" w:rsidR="00B97CB7" w:rsidRPr="0005155A" w:rsidRDefault="00B97CB7" w:rsidP="00047560">
            <w:pPr>
              <w:spacing w:after="0"/>
              <w:jc w:val="right"/>
            </w:pPr>
            <w:r w:rsidRPr="0005155A">
              <w:t>1,048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A7D414" w14:textId="77777777" w:rsidR="00B97CB7" w:rsidRPr="0005155A" w:rsidRDefault="00B97CB7" w:rsidP="00047560">
            <w:pPr>
              <w:spacing w:after="0"/>
              <w:jc w:val="right"/>
            </w:pPr>
            <w:r w:rsidRPr="0005155A">
              <w:t>1,051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7FCDAC" w14:textId="77777777" w:rsidR="00B97CB7" w:rsidRPr="0005155A" w:rsidRDefault="00B97CB7" w:rsidP="00047560">
            <w:pPr>
              <w:spacing w:after="0"/>
              <w:jc w:val="right"/>
            </w:pPr>
            <w:r w:rsidRPr="0005155A">
              <w:t>99.7%</w:t>
            </w:r>
          </w:p>
        </w:tc>
      </w:tr>
      <w:tr w:rsidR="00B97CB7" w14:paraId="478C0730"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2AF1E099" w14:textId="77777777" w:rsidR="00B97CB7" w:rsidRDefault="00B97CB7" w:rsidP="00047560">
            <w:pPr>
              <w:spacing w:after="0"/>
            </w:pPr>
            <w:r>
              <w:t>Hope Vale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4226DD" w14:textId="77777777" w:rsidR="00B97CB7" w:rsidRPr="0005155A" w:rsidRDefault="00B97CB7" w:rsidP="00047560">
            <w:pPr>
              <w:spacing w:after="0"/>
              <w:jc w:val="right"/>
            </w:pPr>
            <w:r w:rsidRPr="0005155A">
              <w:t>326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D99CE1" w14:textId="77777777" w:rsidR="00B97CB7" w:rsidRPr="0005155A" w:rsidRDefault="00B97CB7" w:rsidP="00047560">
            <w:pPr>
              <w:spacing w:after="0"/>
              <w:jc w:val="right"/>
            </w:pPr>
            <w:r w:rsidRPr="0005155A">
              <w:t>337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64227E" w14:textId="77777777" w:rsidR="00B97CB7" w:rsidRPr="0005155A" w:rsidRDefault="00B97CB7" w:rsidP="00047560">
            <w:pPr>
              <w:spacing w:after="0"/>
              <w:jc w:val="right"/>
            </w:pPr>
            <w:r w:rsidRPr="0005155A">
              <w:t>96.7%</w:t>
            </w:r>
          </w:p>
        </w:tc>
      </w:tr>
      <w:tr w:rsidR="00B97CB7" w14:paraId="5515CBC3"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61FCA29A" w14:textId="77777777" w:rsidR="00B97CB7" w:rsidRDefault="00B97CB7" w:rsidP="00047560">
            <w:pPr>
              <w:spacing w:after="0"/>
            </w:pPr>
            <w:r>
              <w:t>Mossman Gorge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F6CE28" w14:textId="77777777" w:rsidR="00B97CB7" w:rsidRPr="0005155A" w:rsidRDefault="00B97CB7" w:rsidP="00047560">
            <w:pPr>
              <w:spacing w:after="0"/>
              <w:jc w:val="right"/>
            </w:pPr>
            <w:r w:rsidRPr="0005155A">
              <w:t>125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4F90B3" w14:textId="77777777" w:rsidR="00B97CB7" w:rsidRPr="0005155A" w:rsidRDefault="00B97CB7" w:rsidP="00047560">
            <w:pPr>
              <w:spacing w:after="0"/>
              <w:jc w:val="right"/>
            </w:pPr>
            <w:r w:rsidRPr="0005155A">
              <w:t>125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6EF765" w14:textId="77777777" w:rsidR="00B97CB7" w:rsidRPr="0005155A" w:rsidRDefault="00B97CB7" w:rsidP="00047560">
            <w:pPr>
              <w:spacing w:after="0"/>
              <w:jc w:val="right"/>
            </w:pPr>
            <w:r w:rsidRPr="0005155A">
              <w:t>100.0%</w:t>
            </w:r>
          </w:p>
        </w:tc>
      </w:tr>
      <w:tr w:rsidR="00B97CB7" w14:paraId="3E2A2605"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4036CB3C" w14:textId="77777777" w:rsidR="00B97CB7" w:rsidRDefault="00B97CB7" w:rsidP="00047560">
            <w:pPr>
              <w:spacing w:after="0"/>
              <w:rPr>
                <w:b/>
                <w:bCs/>
              </w:rPr>
            </w:pPr>
            <w:r>
              <w:rPr>
                <w:b/>
                <w:bCs/>
              </w:rPr>
              <w:t>Total</w:t>
            </w:r>
          </w:p>
        </w:tc>
        <w:tc>
          <w:tcPr>
            <w:tcW w:w="1984" w:type="dxa"/>
            <w:tcBorders>
              <w:top w:val="nil"/>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111F9D02" w14:textId="77777777" w:rsidR="00B97CB7" w:rsidRPr="0005155A" w:rsidRDefault="00B97CB7" w:rsidP="00047560">
            <w:pPr>
              <w:spacing w:after="0"/>
              <w:jc w:val="right"/>
              <w:rPr>
                <w:b/>
                <w:bCs/>
              </w:rPr>
            </w:pPr>
            <w:r w:rsidRPr="0005155A">
              <w:rPr>
                <w:b/>
                <w:bCs/>
              </w:rPr>
              <w:t>2,599</w:t>
            </w:r>
          </w:p>
        </w:tc>
        <w:tc>
          <w:tcPr>
            <w:tcW w:w="1843" w:type="dxa"/>
            <w:tcBorders>
              <w:top w:val="nil"/>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04D711E6" w14:textId="77777777" w:rsidR="00B97CB7" w:rsidRPr="0005155A" w:rsidRDefault="00B97CB7" w:rsidP="00047560">
            <w:pPr>
              <w:spacing w:after="0"/>
              <w:jc w:val="right"/>
              <w:rPr>
                <w:b/>
                <w:bCs/>
              </w:rPr>
            </w:pPr>
            <w:r w:rsidRPr="0005155A">
              <w:rPr>
                <w:b/>
                <w:bCs/>
              </w:rPr>
              <w:t>2,682</w:t>
            </w:r>
          </w:p>
        </w:tc>
        <w:tc>
          <w:tcPr>
            <w:tcW w:w="2126" w:type="dxa"/>
            <w:tcBorders>
              <w:top w:val="nil"/>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49D6528F" w14:textId="77777777" w:rsidR="00B97CB7" w:rsidRPr="0005155A" w:rsidRDefault="00B97CB7" w:rsidP="00047560">
            <w:pPr>
              <w:spacing w:after="0"/>
              <w:jc w:val="right"/>
              <w:rPr>
                <w:b/>
                <w:bCs/>
              </w:rPr>
            </w:pPr>
            <w:r w:rsidRPr="0005155A">
              <w:rPr>
                <w:b/>
                <w:bCs/>
              </w:rPr>
              <w:t>96.9%</w:t>
            </w:r>
          </w:p>
        </w:tc>
      </w:tr>
    </w:tbl>
    <w:p w14:paraId="01AE85DD" w14:textId="48D76F8B" w:rsidR="00A87B7C" w:rsidRPr="0086460B" w:rsidRDefault="00443439" w:rsidP="0086460B">
      <w:pPr>
        <w:spacing w:before="120"/>
        <w:rPr>
          <w:color w:val="000000"/>
          <w:sz w:val="16"/>
          <w:szCs w:val="16"/>
        </w:rPr>
      </w:pPr>
      <w:r>
        <w:rPr>
          <w:color w:val="000000"/>
          <w:sz w:val="16"/>
          <w:szCs w:val="16"/>
        </w:rPr>
        <w:t>1. C</w:t>
      </w:r>
      <w:r w:rsidR="00B97CB7" w:rsidRPr="00443439">
        <w:rPr>
          <w:color w:val="000000"/>
          <w:sz w:val="16"/>
          <w:szCs w:val="16"/>
        </w:rPr>
        <w:t>oen Commissioners are all engaged in full</w:t>
      </w:r>
      <w:r w:rsidR="003F59DF">
        <w:rPr>
          <w:color w:val="000000"/>
          <w:sz w:val="16"/>
          <w:szCs w:val="16"/>
        </w:rPr>
        <w:t>-</w:t>
      </w:r>
      <w:r w:rsidR="00B97CB7" w:rsidRPr="00443439">
        <w:rPr>
          <w:color w:val="000000"/>
          <w:sz w:val="16"/>
          <w:szCs w:val="16"/>
        </w:rPr>
        <w:t>time employment. On some occasions only two Local Commissioners have been available. On such occasions the FRC Commissioner attends either in person or by phone.</w:t>
      </w:r>
    </w:p>
    <w:p w14:paraId="06DFFB5F" w14:textId="7A85FFAD" w:rsidR="00B97CB7" w:rsidRDefault="00B97CB7" w:rsidP="0086460B">
      <w:pPr>
        <w:spacing w:before="240"/>
        <w:rPr>
          <w:color w:val="000000"/>
        </w:rPr>
      </w:pPr>
      <w:r w:rsidRPr="008E7494">
        <w:rPr>
          <w:color w:val="000000"/>
        </w:rPr>
        <w:t>The</w:t>
      </w:r>
      <w:r>
        <w:rPr>
          <w:color w:val="000000"/>
        </w:rPr>
        <w:t xml:space="preserve"> Local Commissioners</w:t>
      </w:r>
      <w:r w:rsidRPr="008E7494">
        <w:rPr>
          <w:color w:val="000000"/>
        </w:rPr>
        <w:t xml:space="preserve"> live every</w:t>
      </w:r>
      <w:r>
        <w:rPr>
          <w:color w:val="000000"/>
        </w:rPr>
        <w:t xml:space="preserve"> </w:t>
      </w:r>
      <w:r w:rsidRPr="008E7494">
        <w:rPr>
          <w:color w:val="000000"/>
        </w:rPr>
        <w:t xml:space="preserve">day with the responsibility </w:t>
      </w:r>
      <w:r>
        <w:rPr>
          <w:color w:val="000000"/>
        </w:rPr>
        <w:t>for</w:t>
      </w:r>
      <w:r w:rsidRPr="008E7494">
        <w:rPr>
          <w:color w:val="000000"/>
        </w:rPr>
        <w:t>, and reaction to, their decisions</w:t>
      </w:r>
      <w:r>
        <w:rPr>
          <w:color w:val="000000"/>
        </w:rPr>
        <w:t xml:space="preserve"> and are often subject to threats and abuse. The Commission ensures that debriefing and professional counselling is readily available to them and their families</w:t>
      </w:r>
      <w:r w:rsidR="00F9133C">
        <w:rPr>
          <w:color w:val="000000"/>
        </w:rPr>
        <w:t>.</w:t>
      </w:r>
    </w:p>
    <w:p w14:paraId="59BB201C" w14:textId="77777777" w:rsidR="00B97CB7" w:rsidRPr="00A82551" w:rsidRDefault="00B97CB7" w:rsidP="00B97CB7">
      <w:r w:rsidRPr="008E7494">
        <w:rPr>
          <w:color w:val="000000"/>
        </w:rPr>
        <w:t xml:space="preserve">The Commission’s work in strengthening Indigenous local authority, building and maintaining respect for Indigenous decision-making, and encouraging local community members to take responsibility for their lives </w:t>
      </w:r>
      <w:r>
        <w:rPr>
          <w:color w:val="000000"/>
        </w:rPr>
        <w:t>is acknowledged by both State and Australian Parliaments</w:t>
      </w:r>
      <w:r w:rsidRPr="008E7494">
        <w:rPr>
          <w:color w:val="000000"/>
        </w:rPr>
        <w:t>.</w:t>
      </w:r>
    </w:p>
    <w:p w14:paraId="7ACBBFA4" w14:textId="77777777" w:rsidR="00B97CB7" w:rsidRDefault="00B97CB7" w:rsidP="00B97CB7">
      <w:r w:rsidRPr="008E7494">
        <w:t xml:space="preserve">In each community there has been significant and lasting improvement to the wellbeing, safety and education of </w:t>
      </w:r>
      <w:r>
        <w:t>its</w:t>
      </w:r>
      <w:r w:rsidRPr="008E7494">
        <w:t xml:space="preserve"> children.</w:t>
      </w:r>
    </w:p>
    <w:p w14:paraId="42B604CD" w14:textId="77777777" w:rsidR="00C82EEE" w:rsidRPr="002C013C" w:rsidRDefault="00C82EEE" w:rsidP="00F855B1">
      <w:pPr>
        <w:pStyle w:val="Heading3"/>
        <w:rPr>
          <w:i/>
        </w:rPr>
      </w:pPr>
      <w:r w:rsidRPr="002C013C">
        <w:t>Griffith Neighbourhoods Project</w:t>
      </w:r>
    </w:p>
    <w:p w14:paraId="3005B645" w14:textId="7EFD4584" w:rsidR="00C82EEE" w:rsidRDefault="00C82EEE" w:rsidP="00C82EEE">
      <w:pPr>
        <w:rPr>
          <w:color w:val="000000"/>
        </w:rPr>
      </w:pPr>
      <w:r w:rsidRPr="0082353E">
        <w:rPr>
          <w:color w:val="000000"/>
        </w:rPr>
        <w:t xml:space="preserve">I was informed on 20 May that the contract between </w:t>
      </w:r>
      <w:r>
        <w:rPr>
          <w:color w:val="000000"/>
        </w:rPr>
        <w:t xml:space="preserve">the </w:t>
      </w:r>
      <w:r w:rsidRPr="0082353E">
        <w:rPr>
          <w:color w:val="000000"/>
        </w:rPr>
        <w:t>D</w:t>
      </w:r>
      <w:r>
        <w:rPr>
          <w:color w:val="000000"/>
        </w:rPr>
        <w:t xml:space="preserve">epartment of </w:t>
      </w:r>
      <w:r w:rsidRPr="0082353E">
        <w:rPr>
          <w:color w:val="000000"/>
        </w:rPr>
        <w:t>A</w:t>
      </w:r>
      <w:r>
        <w:rPr>
          <w:color w:val="000000"/>
        </w:rPr>
        <w:t xml:space="preserve">boriginal and </w:t>
      </w:r>
      <w:r w:rsidRPr="0082353E">
        <w:rPr>
          <w:color w:val="000000"/>
        </w:rPr>
        <w:t>T</w:t>
      </w:r>
      <w:r>
        <w:rPr>
          <w:color w:val="000000"/>
        </w:rPr>
        <w:t xml:space="preserve">orres </w:t>
      </w:r>
      <w:r w:rsidRPr="0082353E">
        <w:rPr>
          <w:color w:val="000000"/>
        </w:rPr>
        <w:t>S</w:t>
      </w:r>
      <w:r>
        <w:rPr>
          <w:color w:val="000000"/>
        </w:rPr>
        <w:t xml:space="preserve">trait </w:t>
      </w:r>
      <w:r w:rsidRPr="0082353E">
        <w:rPr>
          <w:color w:val="000000"/>
        </w:rPr>
        <w:t>I</w:t>
      </w:r>
      <w:r>
        <w:rPr>
          <w:color w:val="000000"/>
        </w:rPr>
        <w:t xml:space="preserve">slander </w:t>
      </w:r>
      <w:r w:rsidRPr="0082353E">
        <w:rPr>
          <w:color w:val="000000"/>
        </w:rPr>
        <w:t>P</w:t>
      </w:r>
      <w:r>
        <w:rPr>
          <w:color w:val="000000"/>
        </w:rPr>
        <w:t>artnerships (DATSIP)</w:t>
      </w:r>
      <w:r w:rsidRPr="0082353E">
        <w:rPr>
          <w:color w:val="000000"/>
        </w:rPr>
        <w:t xml:space="preserve"> and </w:t>
      </w:r>
      <w:r>
        <w:rPr>
          <w:color w:val="000000"/>
        </w:rPr>
        <w:t xml:space="preserve">the </w:t>
      </w:r>
      <w:r w:rsidRPr="0082353E">
        <w:rPr>
          <w:color w:val="000000"/>
        </w:rPr>
        <w:t>Griffith Neighbourhoods Project</w:t>
      </w:r>
      <w:r>
        <w:rPr>
          <w:color w:val="000000"/>
        </w:rPr>
        <w:t xml:space="preserve"> would</w:t>
      </w:r>
      <w:r w:rsidRPr="0082353E">
        <w:rPr>
          <w:color w:val="000000"/>
        </w:rPr>
        <w:t xml:space="preserve"> not be extended past 28 June 2019.</w:t>
      </w:r>
      <w:r w:rsidR="00413E34">
        <w:rPr>
          <w:color w:val="000000"/>
        </w:rPr>
        <w:t xml:space="preserve"> </w:t>
      </w:r>
      <w:r w:rsidRPr="0082353E">
        <w:rPr>
          <w:color w:val="000000"/>
        </w:rPr>
        <w:t>Aurukun Commissioner</w:t>
      </w:r>
      <w:r>
        <w:rPr>
          <w:color w:val="000000"/>
        </w:rPr>
        <w:t>s</w:t>
      </w:r>
      <w:r w:rsidRPr="0082353E">
        <w:rPr>
          <w:color w:val="000000"/>
        </w:rPr>
        <w:t xml:space="preserve"> who have worked with this </w:t>
      </w:r>
      <w:r>
        <w:rPr>
          <w:color w:val="000000"/>
        </w:rPr>
        <w:t>p</w:t>
      </w:r>
      <w:r w:rsidRPr="0082353E">
        <w:rPr>
          <w:color w:val="000000"/>
        </w:rPr>
        <w:t>roject since early 200</w:t>
      </w:r>
      <w:r>
        <w:rPr>
          <w:color w:val="000000"/>
        </w:rPr>
        <w:t>9</w:t>
      </w:r>
      <w:r w:rsidRPr="0082353E">
        <w:rPr>
          <w:color w:val="000000"/>
        </w:rPr>
        <w:t xml:space="preserve"> are concerned there is no alternative service provider</w:t>
      </w:r>
      <w:r>
        <w:rPr>
          <w:color w:val="000000"/>
        </w:rPr>
        <w:t xml:space="preserve"> </w:t>
      </w:r>
      <w:r w:rsidRPr="0082353E">
        <w:rPr>
          <w:color w:val="000000"/>
        </w:rPr>
        <w:t xml:space="preserve">that provides the same </w:t>
      </w:r>
      <w:r>
        <w:rPr>
          <w:color w:val="000000"/>
        </w:rPr>
        <w:t xml:space="preserve">level of </w:t>
      </w:r>
      <w:r w:rsidRPr="0082353E">
        <w:rPr>
          <w:color w:val="000000"/>
        </w:rPr>
        <w:t>programs</w:t>
      </w:r>
      <w:r>
        <w:rPr>
          <w:color w:val="000000"/>
        </w:rPr>
        <w:t xml:space="preserve"> </w:t>
      </w:r>
      <w:r w:rsidRPr="0082353E">
        <w:rPr>
          <w:color w:val="000000"/>
        </w:rPr>
        <w:t>in Aurukun</w:t>
      </w:r>
      <w:r>
        <w:rPr>
          <w:color w:val="000000"/>
        </w:rPr>
        <w:t>,</w:t>
      </w:r>
      <w:r w:rsidRPr="0082353E">
        <w:rPr>
          <w:color w:val="000000"/>
        </w:rPr>
        <w:t xml:space="preserve"> and </w:t>
      </w:r>
      <w:r>
        <w:rPr>
          <w:color w:val="000000"/>
        </w:rPr>
        <w:t xml:space="preserve">that </w:t>
      </w:r>
      <w:r w:rsidRPr="0082353E">
        <w:rPr>
          <w:color w:val="000000"/>
        </w:rPr>
        <w:t xml:space="preserve">there will </w:t>
      </w:r>
      <w:r>
        <w:rPr>
          <w:color w:val="000000"/>
        </w:rPr>
        <w:t xml:space="preserve">be </w:t>
      </w:r>
      <w:r w:rsidRPr="0082353E">
        <w:rPr>
          <w:color w:val="000000"/>
        </w:rPr>
        <w:t>a significant impact on the community with its departure.</w:t>
      </w:r>
      <w:r>
        <w:rPr>
          <w:color w:val="000000"/>
        </w:rPr>
        <w:t xml:space="preserve"> They have on their own initiative made submissions to the Deputy Premier,</w:t>
      </w:r>
      <w:r w:rsidRPr="00EC58F2">
        <w:rPr>
          <w:color w:val="000000"/>
        </w:rPr>
        <w:t xml:space="preserve"> </w:t>
      </w:r>
      <w:r w:rsidRPr="004260A2">
        <w:rPr>
          <w:color w:val="000000"/>
        </w:rPr>
        <w:t>Treasurer and Minister for Aboriginal and Torres Strait Islander Partnerships</w:t>
      </w:r>
      <w:r>
        <w:rPr>
          <w:color w:val="000000"/>
        </w:rPr>
        <w:t>, the Hon</w:t>
      </w:r>
      <w:r w:rsidR="00DC21CC">
        <w:rPr>
          <w:color w:val="000000"/>
        </w:rPr>
        <w:t>ourable</w:t>
      </w:r>
      <w:r>
        <w:rPr>
          <w:color w:val="000000"/>
        </w:rPr>
        <w:t xml:space="preserve"> Jackie Trad MP, and the Aurukun Ministerial Champion the Hon</w:t>
      </w:r>
      <w:r w:rsidR="00DC21CC">
        <w:rPr>
          <w:color w:val="000000"/>
        </w:rPr>
        <w:t>ourable</w:t>
      </w:r>
      <w:r>
        <w:rPr>
          <w:color w:val="000000"/>
        </w:rPr>
        <w:t xml:space="preserve"> Di Farmer MP, Minister for </w:t>
      </w:r>
      <w:r w:rsidR="00413E34">
        <w:rPr>
          <w:color w:val="000000"/>
        </w:rPr>
        <w:t xml:space="preserve">the Department of </w:t>
      </w:r>
      <w:r w:rsidRPr="00C268C5">
        <w:rPr>
          <w:color w:val="000000"/>
        </w:rPr>
        <w:t xml:space="preserve">Child Safety, Youth and Women </w:t>
      </w:r>
      <w:r w:rsidR="00413E34">
        <w:rPr>
          <w:color w:val="000000"/>
        </w:rPr>
        <w:t xml:space="preserve">(DCSYW) </w:t>
      </w:r>
      <w:r w:rsidRPr="00C268C5">
        <w:rPr>
          <w:color w:val="000000"/>
        </w:rPr>
        <w:t>and Minister for the Prevention of Domestic and Family Violence</w:t>
      </w:r>
      <w:r>
        <w:rPr>
          <w:color w:val="000000"/>
        </w:rPr>
        <w:t>, to reconsider their decision.</w:t>
      </w:r>
      <w:r w:rsidR="00F8387B" w:rsidRPr="00EC58F2">
        <w:rPr>
          <w:color w:val="000000"/>
        </w:rPr>
        <w:t xml:space="preserve"> </w:t>
      </w:r>
      <w:r w:rsidR="0063219A" w:rsidRPr="004D32A3">
        <w:rPr>
          <w:color w:val="000000"/>
        </w:rPr>
        <w:t>DCSYW</w:t>
      </w:r>
      <w:r w:rsidR="00F8387B" w:rsidRPr="00F8387B">
        <w:rPr>
          <w:color w:val="000000"/>
        </w:rPr>
        <w:t xml:space="preserve"> </w:t>
      </w:r>
      <w:r w:rsidR="00761469">
        <w:rPr>
          <w:color w:val="000000"/>
        </w:rPr>
        <w:t xml:space="preserve">has </w:t>
      </w:r>
      <w:r w:rsidR="00F8387B" w:rsidRPr="00F8387B">
        <w:rPr>
          <w:color w:val="000000"/>
        </w:rPr>
        <w:t>advise</w:t>
      </w:r>
      <w:r w:rsidR="00761469">
        <w:rPr>
          <w:color w:val="000000"/>
        </w:rPr>
        <w:t>d that</w:t>
      </w:r>
      <w:r w:rsidR="00F8387B" w:rsidRPr="00F8387B">
        <w:rPr>
          <w:color w:val="000000"/>
        </w:rPr>
        <w:t xml:space="preserve"> Youth Empowered Towards Independence has been approved as the successful provider to deliver the project for the 12</w:t>
      </w:r>
      <w:r w:rsidR="00893766">
        <w:rPr>
          <w:color w:val="000000"/>
        </w:rPr>
        <w:t>-</w:t>
      </w:r>
      <w:r w:rsidR="00F8387B" w:rsidRPr="00F8387B">
        <w:rPr>
          <w:color w:val="000000"/>
        </w:rPr>
        <w:t>month period 1 July 2019 to 30 June 2020</w:t>
      </w:r>
      <w:r w:rsidR="00761469">
        <w:rPr>
          <w:color w:val="000000"/>
        </w:rPr>
        <w:t>,</w:t>
      </w:r>
      <w:r w:rsidR="00F8387B">
        <w:rPr>
          <w:color w:val="000000"/>
        </w:rPr>
        <w:t xml:space="preserve"> and it is hoped the capacity building which is a key feature of the program will</w:t>
      </w:r>
      <w:r w:rsidR="00413E34">
        <w:rPr>
          <w:color w:val="000000"/>
        </w:rPr>
        <w:t xml:space="preserve"> </w:t>
      </w:r>
      <w:r w:rsidR="00B557DE">
        <w:rPr>
          <w:color w:val="000000"/>
        </w:rPr>
        <w:t xml:space="preserve">build upon the great work </w:t>
      </w:r>
      <w:r w:rsidR="002A1591">
        <w:rPr>
          <w:color w:val="000000"/>
        </w:rPr>
        <w:t xml:space="preserve">already </w:t>
      </w:r>
      <w:r w:rsidR="00B557DE">
        <w:rPr>
          <w:color w:val="000000"/>
        </w:rPr>
        <w:t>carried out by members of the Griffith Neighbourhoods Project team</w:t>
      </w:r>
      <w:r w:rsidR="00413E34">
        <w:rPr>
          <w:color w:val="000000"/>
        </w:rPr>
        <w:t>.</w:t>
      </w:r>
    </w:p>
    <w:p w14:paraId="279046F4" w14:textId="77777777" w:rsidR="000B15B1" w:rsidRPr="00B557DE" w:rsidRDefault="000B15B1" w:rsidP="00B557DE">
      <w:r w:rsidRPr="00B557DE">
        <w:br w:type="page"/>
      </w:r>
    </w:p>
    <w:p w14:paraId="7583DEE0" w14:textId="5499B3B7" w:rsidR="00B97CB7" w:rsidRPr="002C013C" w:rsidRDefault="00B97CB7" w:rsidP="00F855B1">
      <w:pPr>
        <w:pStyle w:val="Heading3"/>
        <w:rPr>
          <w:i/>
        </w:rPr>
      </w:pPr>
      <w:r w:rsidRPr="002C013C">
        <w:lastRenderedPageBreak/>
        <w:t>Conditional income management</w:t>
      </w:r>
    </w:p>
    <w:p w14:paraId="5F0A3195" w14:textId="77777777" w:rsidR="00B97CB7" w:rsidRDefault="00B97CB7" w:rsidP="00B97CB7">
      <w:r>
        <w:t>Since</w:t>
      </w:r>
      <w:r w:rsidRPr="008E7494">
        <w:t xml:space="preserve"> the Commission commenced </w:t>
      </w:r>
      <w:r>
        <w:t xml:space="preserve">in July 2008 some concern has been expressed </w:t>
      </w:r>
      <w:r w:rsidRPr="008E7494">
        <w:t>as to whether the Local Commissioners should have the authority to income</w:t>
      </w:r>
      <w:r>
        <w:t>-</w:t>
      </w:r>
      <w:r w:rsidRPr="008E7494">
        <w:t xml:space="preserve">manage clients. </w:t>
      </w:r>
      <w:r>
        <w:t xml:space="preserve">The </w:t>
      </w:r>
      <w:r w:rsidRPr="00C7418D">
        <w:t>Social Security (Administration) Amendment (Income Management and Cashless Welfare) Bill 2019</w:t>
      </w:r>
      <w:r>
        <w:t xml:space="preserve"> providing for the extension of the Commission’s powers to 30 June 2020 was passed with the support of the </w:t>
      </w:r>
      <w:proofErr w:type="spellStart"/>
      <w:r>
        <w:t>Labor</w:t>
      </w:r>
      <w:proofErr w:type="spellEnd"/>
      <w:r>
        <w:t xml:space="preserve"> opposition in the Australian Parliament on 4 April 2019 and received Royal Assent on 5 April 2019.</w:t>
      </w:r>
    </w:p>
    <w:p w14:paraId="251D04DC" w14:textId="77777777" w:rsidR="00B97CB7" w:rsidRDefault="00B97CB7" w:rsidP="00B97CB7">
      <w:pPr>
        <w:rPr>
          <w:color w:val="000000"/>
        </w:rPr>
      </w:pPr>
      <w:r w:rsidRPr="008E7494">
        <w:t xml:space="preserve">Unlike other trials, the FRC was never part of a blanket </w:t>
      </w:r>
      <w:r>
        <w:t>i</w:t>
      </w:r>
      <w:r w:rsidRPr="008E7494">
        <w:t xml:space="preserve">ncome </w:t>
      </w:r>
      <w:r>
        <w:t>m</w:t>
      </w:r>
      <w:r w:rsidRPr="008E7494">
        <w:t>anagement program.</w:t>
      </w:r>
      <w:r>
        <w:t xml:space="preserve"> C</w:t>
      </w:r>
      <w:r w:rsidRPr="008E7494">
        <w:t>ommissioners have always considered each client on a case by case basis with Conditional Income Management (CIM) issued as a last resort</w:t>
      </w:r>
      <w:r>
        <w:t>.</w:t>
      </w:r>
      <w:r w:rsidRPr="008E7494">
        <w:t xml:space="preserve"> </w:t>
      </w:r>
      <w:r>
        <w:t>I</w:t>
      </w:r>
      <w:r w:rsidRPr="008E7494">
        <w:rPr>
          <w:color w:val="000000"/>
        </w:rPr>
        <w:t xml:space="preserve">t is informative to consider how that power was exercised over this </w:t>
      </w:r>
      <w:r>
        <w:rPr>
          <w:color w:val="000000"/>
        </w:rPr>
        <w:t>eleven-</w:t>
      </w:r>
      <w:r w:rsidRPr="008E7494">
        <w:rPr>
          <w:color w:val="000000"/>
        </w:rPr>
        <w:t>year period by the Commissioners.</w:t>
      </w:r>
    </w:p>
    <w:p w14:paraId="65503CB1" w14:textId="299AB53F" w:rsidR="00B97CB7" w:rsidRPr="008E7494" w:rsidRDefault="00B97CB7" w:rsidP="00B97CB7">
      <w:pPr>
        <w:widowControl w:val="0"/>
        <w:autoSpaceDE w:val="0"/>
        <w:autoSpaceDN w:val="0"/>
        <w:adjustRightInd w:val="0"/>
        <w:ind w:left="720" w:hanging="720"/>
        <w:rPr>
          <w:rFonts w:ascii="Helvetica" w:hAnsi="Helvetica" w:cs="Helvetica"/>
          <w:b/>
          <w:bCs/>
          <w:sz w:val="17"/>
          <w:szCs w:val="17"/>
          <w:lang w:val="en-US"/>
        </w:rPr>
      </w:pPr>
      <w:r w:rsidRPr="008E7494">
        <w:rPr>
          <w:rFonts w:ascii="Helvetica" w:hAnsi="Helvetica" w:cs="Helvetica"/>
          <w:b/>
          <w:bCs/>
          <w:sz w:val="17"/>
          <w:szCs w:val="17"/>
          <w:lang w:val="en-US"/>
        </w:rPr>
        <w:t xml:space="preserve">Table </w:t>
      </w:r>
      <w:r>
        <w:rPr>
          <w:rFonts w:ascii="Helvetica" w:hAnsi="Helvetica" w:cs="Helvetica"/>
          <w:b/>
          <w:bCs/>
          <w:sz w:val="17"/>
          <w:szCs w:val="17"/>
          <w:lang w:val="en-US"/>
        </w:rPr>
        <w:t>2</w:t>
      </w:r>
      <w:r w:rsidRPr="008E7494">
        <w:rPr>
          <w:rFonts w:ascii="Helvetica" w:hAnsi="Helvetica" w:cs="Helvetica"/>
          <w:b/>
          <w:bCs/>
          <w:sz w:val="17"/>
          <w:szCs w:val="17"/>
          <w:lang w:val="en-US"/>
        </w:rPr>
        <w:t xml:space="preserve">: Percentage of clients </w:t>
      </w:r>
      <w:r>
        <w:rPr>
          <w:rFonts w:ascii="Helvetica" w:hAnsi="Helvetica" w:cs="Helvetica"/>
          <w:b/>
          <w:bCs/>
          <w:sz w:val="17"/>
          <w:szCs w:val="17"/>
          <w:lang w:val="en-US"/>
        </w:rPr>
        <w:t xml:space="preserve">who were </w:t>
      </w:r>
      <w:r w:rsidRPr="008E7494">
        <w:rPr>
          <w:rFonts w:ascii="Helvetica" w:hAnsi="Helvetica" w:cs="Helvetica"/>
          <w:b/>
          <w:bCs/>
          <w:sz w:val="17"/>
          <w:szCs w:val="17"/>
          <w:lang w:val="en-US"/>
        </w:rPr>
        <w:t xml:space="preserve">placed on conditional income management </w:t>
      </w:r>
      <w:r>
        <w:rPr>
          <w:rFonts w:ascii="Helvetica" w:hAnsi="Helvetica" w:cs="Helvetica"/>
          <w:b/>
          <w:bCs/>
          <w:sz w:val="17"/>
          <w:szCs w:val="17"/>
          <w:lang w:val="en-US"/>
        </w:rPr>
        <w:br/>
        <w:t>for</w:t>
      </w:r>
      <w:r w:rsidRPr="008E7494">
        <w:rPr>
          <w:rFonts w:ascii="Helvetica" w:hAnsi="Helvetica" w:cs="Helvetica"/>
          <w:b/>
          <w:bCs/>
          <w:sz w:val="17"/>
          <w:szCs w:val="17"/>
          <w:lang w:val="en-US"/>
        </w:rPr>
        <w:t xml:space="preserve"> </w:t>
      </w:r>
      <w:r>
        <w:rPr>
          <w:rFonts w:ascii="Helvetica" w:hAnsi="Helvetica" w:cs="Helvetica"/>
          <w:b/>
          <w:bCs/>
          <w:sz w:val="17"/>
          <w:szCs w:val="17"/>
          <w:lang w:val="en-US"/>
        </w:rPr>
        <w:t>each financial year 2008 to</w:t>
      </w:r>
      <w:r w:rsidRPr="008E7494">
        <w:rPr>
          <w:rFonts w:ascii="Helvetica" w:hAnsi="Helvetica" w:cs="Helvetica"/>
          <w:b/>
          <w:bCs/>
          <w:sz w:val="17"/>
          <w:szCs w:val="17"/>
          <w:lang w:val="en-US"/>
        </w:rPr>
        <w:t xml:space="preserve"> 201</w:t>
      </w:r>
      <w:r>
        <w:rPr>
          <w:rFonts w:ascii="Helvetica" w:hAnsi="Helvetica" w:cs="Helvetica"/>
          <w:b/>
          <w:bCs/>
          <w:sz w:val="17"/>
          <w:szCs w:val="17"/>
          <w:lang w:val="en-US"/>
        </w:rPr>
        <w:t>9</w:t>
      </w:r>
      <w:r w:rsidRPr="008E7494">
        <w:rPr>
          <w:rFonts w:ascii="Helvetica" w:hAnsi="Helvetica" w:cs="Helvetica"/>
          <w:b/>
          <w:bCs/>
          <w:sz w:val="17"/>
          <w:szCs w:val="17"/>
          <w:lang w:val="en-US"/>
        </w:rPr>
        <w:t>.</w:t>
      </w:r>
    </w:p>
    <w:tbl>
      <w:tblPr>
        <w:tblW w:w="8364" w:type="dxa"/>
        <w:tblInd w:w="108" w:type="dxa"/>
        <w:tblCellMar>
          <w:left w:w="0" w:type="dxa"/>
          <w:right w:w="0" w:type="dxa"/>
        </w:tblCellMar>
        <w:tblLook w:val="04A0" w:firstRow="1" w:lastRow="0" w:firstColumn="1" w:lastColumn="0" w:noHBand="0" w:noVBand="1"/>
      </w:tblPr>
      <w:tblGrid>
        <w:gridCol w:w="1701"/>
        <w:gridCol w:w="1418"/>
        <w:gridCol w:w="1984"/>
        <w:gridCol w:w="1560"/>
        <w:gridCol w:w="1701"/>
      </w:tblGrid>
      <w:tr w:rsidR="00B97CB7" w:rsidRPr="008E7494" w14:paraId="3ED8759A" w14:textId="77777777" w:rsidTr="00047560">
        <w:trPr>
          <w:trHeight w:val="900"/>
        </w:trPr>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354B29" w14:textId="77777777" w:rsidR="00B97CB7" w:rsidRPr="008E7494" w:rsidRDefault="00B97CB7" w:rsidP="00047560">
            <w:pPr>
              <w:rPr>
                <w:rFonts w:cs="Arial"/>
                <w:b/>
                <w:color w:val="000000"/>
                <w:szCs w:val="20"/>
              </w:rPr>
            </w:pPr>
            <w:r w:rsidRPr="008E7494">
              <w:rPr>
                <w:rFonts w:cs="Arial"/>
                <w:b/>
                <w:color w:val="000000"/>
                <w:szCs w:val="20"/>
              </w:rPr>
              <w:t>Financial Year</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1913D35" w14:textId="77777777" w:rsidR="00B97CB7" w:rsidRPr="008E7494" w:rsidRDefault="00B97CB7" w:rsidP="00047560">
            <w:pPr>
              <w:jc w:val="center"/>
              <w:rPr>
                <w:rFonts w:cs="Arial"/>
                <w:b/>
                <w:color w:val="000000"/>
                <w:szCs w:val="20"/>
              </w:rPr>
            </w:pPr>
            <w:r w:rsidRPr="008E7494">
              <w:rPr>
                <w:rFonts w:cs="Arial"/>
                <w:b/>
                <w:color w:val="000000"/>
                <w:szCs w:val="20"/>
              </w:rPr>
              <w:t xml:space="preserve">Number of </w:t>
            </w:r>
            <w:r>
              <w:rPr>
                <w:rFonts w:cs="Arial"/>
                <w:b/>
                <w:color w:val="000000"/>
                <w:szCs w:val="20"/>
              </w:rPr>
              <w:t xml:space="preserve">CIM </w:t>
            </w:r>
            <w:r w:rsidRPr="008E7494">
              <w:rPr>
                <w:rFonts w:cs="Arial"/>
                <w:b/>
                <w:color w:val="000000"/>
                <w:szCs w:val="20"/>
              </w:rPr>
              <w:t>Orders Made</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BE607E0" w14:textId="77777777" w:rsidR="00B97CB7" w:rsidRPr="008E7494" w:rsidRDefault="00B97CB7" w:rsidP="00047560">
            <w:pPr>
              <w:jc w:val="center"/>
              <w:rPr>
                <w:rFonts w:cs="Arial"/>
                <w:b/>
                <w:color w:val="000000"/>
                <w:szCs w:val="20"/>
              </w:rPr>
            </w:pPr>
            <w:r w:rsidRPr="008E7494">
              <w:rPr>
                <w:rFonts w:cs="Arial"/>
                <w:b/>
                <w:color w:val="000000"/>
                <w:szCs w:val="20"/>
              </w:rPr>
              <w:t>Number of Unique Clients Placed on CIM</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2C8EC3F" w14:textId="77777777" w:rsidR="00B97CB7" w:rsidRPr="008E7494" w:rsidRDefault="00B97CB7" w:rsidP="00047560">
            <w:pPr>
              <w:jc w:val="center"/>
              <w:rPr>
                <w:rFonts w:cs="Arial"/>
                <w:b/>
                <w:color w:val="000000"/>
                <w:szCs w:val="20"/>
              </w:rPr>
            </w:pPr>
            <w:r>
              <w:rPr>
                <w:rFonts w:cs="Arial"/>
                <w:b/>
                <w:color w:val="000000"/>
                <w:szCs w:val="20"/>
              </w:rPr>
              <w:t xml:space="preserve">Total </w:t>
            </w:r>
            <w:r w:rsidRPr="008E7494">
              <w:rPr>
                <w:rFonts w:cs="Arial"/>
                <w:b/>
                <w:color w:val="000000"/>
                <w:szCs w:val="20"/>
              </w:rPr>
              <w:t xml:space="preserve">Number of </w:t>
            </w:r>
            <w:r>
              <w:rPr>
                <w:rFonts w:cs="Arial"/>
                <w:b/>
                <w:color w:val="000000"/>
                <w:szCs w:val="20"/>
              </w:rPr>
              <w:t xml:space="preserve">FRC </w:t>
            </w:r>
            <w:r w:rsidRPr="008E7494">
              <w:rPr>
                <w:rFonts w:cs="Arial"/>
                <w:b/>
                <w:color w:val="000000"/>
                <w:szCs w:val="20"/>
              </w:rPr>
              <w:t>Clients at 30 June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11C1EDA" w14:textId="77777777" w:rsidR="00B97CB7" w:rsidRPr="008E7494" w:rsidRDefault="00B97CB7" w:rsidP="00047560">
            <w:pPr>
              <w:jc w:val="center"/>
              <w:rPr>
                <w:rFonts w:cs="Arial"/>
                <w:b/>
                <w:color w:val="000000"/>
                <w:szCs w:val="20"/>
              </w:rPr>
            </w:pPr>
            <w:r w:rsidRPr="008E7494">
              <w:rPr>
                <w:rFonts w:cs="Arial"/>
                <w:b/>
                <w:color w:val="000000"/>
                <w:szCs w:val="20"/>
              </w:rPr>
              <w:t>Percent</w:t>
            </w:r>
            <w:r>
              <w:rPr>
                <w:rFonts w:cs="Arial"/>
                <w:b/>
                <w:color w:val="000000"/>
                <w:szCs w:val="20"/>
              </w:rPr>
              <w:t>age</w:t>
            </w:r>
            <w:r w:rsidRPr="008E7494">
              <w:rPr>
                <w:rFonts w:cs="Arial"/>
                <w:b/>
                <w:color w:val="000000"/>
                <w:szCs w:val="20"/>
              </w:rPr>
              <w:t xml:space="preserve"> of Clients </w:t>
            </w:r>
            <w:r>
              <w:rPr>
                <w:rFonts w:cs="Arial"/>
                <w:b/>
                <w:color w:val="000000"/>
                <w:szCs w:val="20"/>
              </w:rPr>
              <w:t>P</w:t>
            </w:r>
            <w:r w:rsidRPr="008E7494">
              <w:rPr>
                <w:rFonts w:cs="Arial"/>
                <w:b/>
                <w:color w:val="000000"/>
                <w:szCs w:val="20"/>
              </w:rPr>
              <w:t>laced on CIM as at 30 June</w:t>
            </w:r>
          </w:p>
        </w:tc>
      </w:tr>
      <w:tr w:rsidR="00B97CB7" w:rsidRPr="008E7494" w14:paraId="3807A1E7"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14:paraId="112457B6" w14:textId="77777777" w:rsidR="00B97CB7" w:rsidRPr="008E7494" w:rsidRDefault="00B97CB7" w:rsidP="00047560">
            <w:pPr>
              <w:spacing w:after="0" w:line="240" w:lineRule="auto"/>
              <w:rPr>
                <w:rFonts w:cs="Arial"/>
                <w:b/>
                <w:bCs/>
                <w:szCs w:val="20"/>
              </w:rPr>
            </w:pPr>
            <w:r w:rsidRPr="008E7494">
              <w:rPr>
                <w:rFonts w:cs="Arial"/>
                <w:b/>
                <w:bCs/>
                <w:szCs w:val="20"/>
              </w:rPr>
              <w:t>2008-2009</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458E86" w14:textId="77777777" w:rsidR="00B97CB7" w:rsidRPr="008E7494" w:rsidRDefault="00B97CB7" w:rsidP="00047560">
            <w:pPr>
              <w:spacing w:after="0" w:line="240" w:lineRule="auto"/>
              <w:jc w:val="right"/>
              <w:rPr>
                <w:rFonts w:cs="Arial"/>
                <w:bCs/>
                <w:szCs w:val="20"/>
              </w:rPr>
            </w:pPr>
            <w:r w:rsidRPr="008E7494">
              <w:rPr>
                <w:rFonts w:cs="Arial"/>
                <w:bCs/>
                <w:szCs w:val="20"/>
              </w:rPr>
              <w:t>89</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79875E" w14:textId="77777777" w:rsidR="00B97CB7" w:rsidRPr="008E7494" w:rsidRDefault="00B97CB7" w:rsidP="00047560">
            <w:pPr>
              <w:spacing w:after="0" w:line="240" w:lineRule="auto"/>
              <w:jc w:val="right"/>
              <w:rPr>
                <w:rFonts w:cs="Arial"/>
                <w:bCs/>
                <w:szCs w:val="20"/>
              </w:rPr>
            </w:pPr>
            <w:r w:rsidRPr="008E7494">
              <w:rPr>
                <w:rFonts w:cs="Arial"/>
                <w:bCs/>
                <w:szCs w:val="20"/>
              </w:rPr>
              <w:t>84</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4AEF12" w14:textId="11CF51FF" w:rsidR="00B97CB7" w:rsidRPr="008E7494" w:rsidRDefault="00BA1BBC" w:rsidP="00047560">
            <w:pPr>
              <w:spacing w:after="0" w:line="240" w:lineRule="auto"/>
              <w:jc w:val="right"/>
              <w:rPr>
                <w:rFonts w:cs="Arial"/>
                <w:bCs/>
                <w:szCs w:val="20"/>
              </w:rPr>
            </w:pPr>
            <w:r>
              <w:rPr>
                <w:rFonts w:cs="Arial"/>
                <w:bCs/>
                <w:szCs w:val="20"/>
              </w:rPr>
              <w:t>Unavailable</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C28225" w14:textId="6E517313" w:rsidR="00B97CB7" w:rsidRPr="008E7494" w:rsidRDefault="00BA1BBC" w:rsidP="00047560">
            <w:pPr>
              <w:spacing w:after="0" w:line="240" w:lineRule="auto"/>
              <w:jc w:val="right"/>
              <w:rPr>
                <w:rFonts w:cs="Arial"/>
                <w:bCs/>
                <w:szCs w:val="20"/>
              </w:rPr>
            </w:pPr>
            <w:r>
              <w:rPr>
                <w:rFonts w:cs="Arial"/>
                <w:bCs/>
                <w:szCs w:val="20"/>
              </w:rPr>
              <w:t>Unavailable</w:t>
            </w:r>
          </w:p>
        </w:tc>
      </w:tr>
      <w:tr w:rsidR="00B97CB7" w:rsidRPr="008E7494" w14:paraId="4A401B6D"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7DAFA4E" w14:textId="77777777" w:rsidR="00B97CB7" w:rsidRPr="008E7494" w:rsidRDefault="00B97CB7" w:rsidP="00047560">
            <w:pPr>
              <w:spacing w:after="0" w:line="240" w:lineRule="auto"/>
              <w:rPr>
                <w:rFonts w:cs="Arial"/>
                <w:b/>
                <w:bCs/>
                <w:szCs w:val="20"/>
              </w:rPr>
            </w:pPr>
            <w:r w:rsidRPr="008E7494">
              <w:rPr>
                <w:rFonts w:cs="Arial"/>
                <w:b/>
                <w:bCs/>
                <w:szCs w:val="20"/>
              </w:rPr>
              <w:t>2009-2010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C13E94"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232</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A8F1A"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217</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0C265"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047</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4E7089"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20.7%</w:t>
            </w:r>
          </w:p>
        </w:tc>
      </w:tr>
      <w:tr w:rsidR="00B97CB7" w:rsidRPr="008E7494" w14:paraId="6C0DD4B6"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868EE68" w14:textId="77777777" w:rsidR="00B97CB7" w:rsidRPr="008E7494" w:rsidRDefault="00B97CB7" w:rsidP="00047560">
            <w:pPr>
              <w:spacing w:after="0" w:line="240" w:lineRule="auto"/>
              <w:rPr>
                <w:rFonts w:cs="Arial"/>
                <w:b/>
                <w:bCs/>
                <w:szCs w:val="20"/>
              </w:rPr>
            </w:pPr>
            <w:r w:rsidRPr="008E7494">
              <w:rPr>
                <w:rFonts w:cs="Arial"/>
                <w:b/>
                <w:bCs/>
                <w:szCs w:val="20"/>
              </w:rPr>
              <w:t>2010-2011</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8EBC0A"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223</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D07E35"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205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86A866"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191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F70F2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17.2%</w:t>
            </w:r>
          </w:p>
        </w:tc>
      </w:tr>
      <w:tr w:rsidR="00B97CB7" w:rsidRPr="008E7494" w14:paraId="30EC4703"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9A64021" w14:textId="77777777" w:rsidR="00B97CB7" w:rsidRPr="008E7494" w:rsidRDefault="00B97CB7" w:rsidP="00047560">
            <w:pPr>
              <w:spacing w:after="0" w:line="240" w:lineRule="auto"/>
              <w:rPr>
                <w:rFonts w:cs="Arial"/>
                <w:b/>
                <w:bCs/>
                <w:szCs w:val="20"/>
              </w:rPr>
            </w:pPr>
            <w:r w:rsidRPr="008E7494">
              <w:rPr>
                <w:rFonts w:cs="Arial"/>
                <w:b/>
                <w:bCs/>
                <w:szCs w:val="20"/>
              </w:rPr>
              <w:t>2011-2012</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F70F20"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218</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0C1000"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208</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CE8D85"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344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17DFA9"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15.5%</w:t>
            </w:r>
          </w:p>
        </w:tc>
      </w:tr>
      <w:tr w:rsidR="00B97CB7" w:rsidRPr="008E7494" w14:paraId="6530FD43"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36D1827" w14:textId="77777777" w:rsidR="00B97CB7" w:rsidRPr="008E7494" w:rsidRDefault="00B97CB7" w:rsidP="00047560">
            <w:pPr>
              <w:spacing w:after="0" w:line="240" w:lineRule="auto"/>
              <w:rPr>
                <w:rFonts w:cs="Arial"/>
                <w:b/>
                <w:bCs/>
                <w:szCs w:val="20"/>
              </w:rPr>
            </w:pPr>
            <w:r w:rsidRPr="008E7494">
              <w:rPr>
                <w:rFonts w:cs="Arial"/>
                <w:b/>
                <w:bCs/>
                <w:szCs w:val="20"/>
              </w:rPr>
              <w:t>2012-2013</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4476BF"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304</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8C4A7D"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268</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1273BA"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467</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EE8A01"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18.3%</w:t>
            </w:r>
          </w:p>
        </w:tc>
      </w:tr>
      <w:tr w:rsidR="00B97CB7" w:rsidRPr="008E7494" w14:paraId="277D52FF"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370D652" w14:textId="77777777" w:rsidR="00B97CB7" w:rsidRPr="008E7494" w:rsidRDefault="00B97CB7" w:rsidP="00047560">
            <w:pPr>
              <w:spacing w:after="0" w:line="240" w:lineRule="auto"/>
              <w:rPr>
                <w:rFonts w:cs="Arial"/>
                <w:b/>
                <w:bCs/>
                <w:szCs w:val="20"/>
              </w:rPr>
            </w:pPr>
            <w:r w:rsidRPr="008E7494">
              <w:rPr>
                <w:rFonts w:cs="Arial"/>
                <w:b/>
                <w:bCs/>
                <w:szCs w:val="20"/>
              </w:rPr>
              <w:t>2013-2014</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DADF9B"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304</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C112A6"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239</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5663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566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5FF66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15.3%</w:t>
            </w:r>
          </w:p>
        </w:tc>
      </w:tr>
      <w:tr w:rsidR="00B97CB7" w:rsidRPr="008E7494" w14:paraId="41FA3F94"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DE5B83D" w14:textId="77777777" w:rsidR="00B97CB7" w:rsidRPr="008E7494" w:rsidRDefault="00B97CB7" w:rsidP="00047560">
            <w:pPr>
              <w:spacing w:after="0" w:line="240" w:lineRule="auto"/>
              <w:rPr>
                <w:rFonts w:cs="Arial"/>
                <w:b/>
                <w:bCs/>
                <w:szCs w:val="20"/>
              </w:rPr>
            </w:pPr>
            <w:r w:rsidRPr="008E7494">
              <w:rPr>
                <w:rFonts w:cs="Arial"/>
                <w:b/>
                <w:bCs/>
                <w:szCs w:val="20"/>
              </w:rPr>
              <w:t>2014-2015</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D9A718"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238</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EC20A0"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194</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ACA352"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856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024ABF"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10.5%</w:t>
            </w:r>
          </w:p>
        </w:tc>
      </w:tr>
      <w:tr w:rsidR="00B97CB7" w:rsidRPr="008E7494" w14:paraId="3B9E17EA"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865E177" w14:textId="77777777" w:rsidR="00B97CB7" w:rsidRPr="008E7494" w:rsidRDefault="00B97CB7" w:rsidP="00047560">
            <w:pPr>
              <w:spacing w:after="0" w:line="240" w:lineRule="auto"/>
              <w:rPr>
                <w:rFonts w:cs="Arial"/>
                <w:b/>
                <w:bCs/>
                <w:szCs w:val="20"/>
              </w:rPr>
            </w:pPr>
            <w:r w:rsidRPr="008E7494">
              <w:rPr>
                <w:rFonts w:cs="Arial"/>
                <w:b/>
                <w:bCs/>
                <w:szCs w:val="20"/>
              </w:rPr>
              <w:t>2015-2016</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75DC2"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249</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4B8E9"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202</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D6AFE4"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w:t>
            </w:r>
            <w:r>
              <w:rPr>
                <w:rFonts w:cs="Arial"/>
                <w:color w:val="000000"/>
                <w:szCs w:val="20"/>
              </w:rPr>
              <w:t>,</w:t>
            </w:r>
            <w:r w:rsidRPr="008E7494">
              <w:rPr>
                <w:rFonts w:cs="Arial"/>
                <w:color w:val="000000"/>
                <w:szCs w:val="20"/>
              </w:rPr>
              <w:t>000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26913A"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10.1%</w:t>
            </w:r>
          </w:p>
        </w:tc>
      </w:tr>
      <w:tr w:rsidR="00B97CB7" w:rsidRPr="008E7494" w14:paraId="78244C0B"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B084E8A" w14:textId="77777777" w:rsidR="00B97CB7" w:rsidRPr="008E7494" w:rsidRDefault="00B97CB7" w:rsidP="00047560">
            <w:pPr>
              <w:spacing w:after="0" w:line="240" w:lineRule="auto"/>
              <w:rPr>
                <w:rFonts w:cs="Arial"/>
                <w:b/>
                <w:bCs/>
                <w:szCs w:val="20"/>
              </w:rPr>
            </w:pPr>
            <w:r w:rsidRPr="008E7494">
              <w:rPr>
                <w:rFonts w:cs="Arial"/>
                <w:b/>
                <w:bCs/>
                <w:szCs w:val="20"/>
              </w:rPr>
              <w:t>2016-2017</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B9D880"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265</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39492"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212</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57785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w:t>
            </w:r>
            <w:r>
              <w:rPr>
                <w:rFonts w:cs="Arial"/>
                <w:color w:val="000000"/>
                <w:szCs w:val="20"/>
              </w:rPr>
              <w:t>,</w:t>
            </w:r>
            <w:r w:rsidRPr="008E7494">
              <w:rPr>
                <w:rFonts w:cs="Arial"/>
                <w:color w:val="000000"/>
                <w:szCs w:val="20"/>
              </w:rPr>
              <w:t>164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B13AAA"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9.8%</w:t>
            </w:r>
          </w:p>
        </w:tc>
      </w:tr>
      <w:tr w:rsidR="00B97CB7" w:rsidRPr="008E7494" w14:paraId="426726E3" w14:textId="77777777" w:rsidTr="00047560">
        <w:trPr>
          <w:trHeight w:val="286"/>
        </w:trPr>
        <w:tc>
          <w:tcPr>
            <w:tcW w:w="1701" w:type="dxa"/>
            <w:tcBorders>
              <w:top w:val="single" w:sz="8"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hideMark/>
          </w:tcPr>
          <w:p w14:paraId="23863C5B" w14:textId="77777777" w:rsidR="00B97CB7" w:rsidRPr="008E7494" w:rsidRDefault="00B97CB7" w:rsidP="00047560">
            <w:pPr>
              <w:spacing w:after="0" w:line="240" w:lineRule="auto"/>
              <w:rPr>
                <w:rFonts w:cs="Arial"/>
                <w:b/>
                <w:bCs/>
                <w:szCs w:val="20"/>
              </w:rPr>
            </w:pPr>
            <w:r w:rsidRPr="008E7494">
              <w:rPr>
                <w:rFonts w:cs="Arial"/>
                <w:b/>
                <w:bCs/>
                <w:szCs w:val="20"/>
              </w:rPr>
              <w:t>2017-2018</w:t>
            </w:r>
          </w:p>
        </w:tc>
        <w:tc>
          <w:tcPr>
            <w:tcW w:w="1418"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6FC63A5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233</w:t>
            </w:r>
          </w:p>
        </w:tc>
        <w:tc>
          <w:tcPr>
            <w:tcW w:w="1984"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22B9CA51"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179</w:t>
            </w:r>
          </w:p>
        </w:tc>
        <w:tc>
          <w:tcPr>
            <w:tcW w:w="156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4C9358A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w:t>
            </w:r>
            <w:r>
              <w:rPr>
                <w:rFonts w:cs="Arial"/>
                <w:color w:val="000000"/>
                <w:szCs w:val="20"/>
              </w:rPr>
              <w:t>,</w:t>
            </w:r>
            <w:r w:rsidRPr="008E7494">
              <w:rPr>
                <w:rFonts w:cs="Arial"/>
                <w:color w:val="000000"/>
                <w:szCs w:val="20"/>
              </w:rPr>
              <w:t>312</w:t>
            </w:r>
          </w:p>
        </w:tc>
        <w:tc>
          <w:tcPr>
            <w:tcW w:w="1701"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4BBD90C1"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7.7%</w:t>
            </w:r>
          </w:p>
        </w:tc>
      </w:tr>
      <w:tr w:rsidR="00B97CB7" w:rsidRPr="008E7494" w14:paraId="69D00FFB" w14:textId="77777777" w:rsidTr="00047560">
        <w:trPr>
          <w:trHeight w:val="286"/>
        </w:trPr>
        <w:tc>
          <w:tcPr>
            <w:tcW w:w="1701" w:type="dxa"/>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14:paraId="0A4BA617" w14:textId="77777777" w:rsidR="00B97CB7" w:rsidRPr="008E7494" w:rsidRDefault="00B97CB7" w:rsidP="00047560">
            <w:pPr>
              <w:spacing w:after="0" w:line="240" w:lineRule="auto"/>
              <w:rPr>
                <w:rFonts w:cs="Arial"/>
                <w:b/>
                <w:bCs/>
                <w:szCs w:val="20"/>
              </w:rPr>
            </w:pPr>
            <w:r>
              <w:rPr>
                <w:rFonts w:cs="Arial"/>
                <w:b/>
                <w:bCs/>
                <w:szCs w:val="20"/>
              </w:rPr>
              <w:t>2018-2019</w:t>
            </w:r>
          </w:p>
        </w:tc>
        <w:tc>
          <w:tcPr>
            <w:tcW w:w="141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132F68BF" w14:textId="77777777" w:rsidR="00B97CB7" w:rsidRPr="00EC68E2" w:rsidRDefault="00B97CB7" w:rsidP="00047560">
            <w:pPr>
              <w:spacing w:after="0" w:line="240" w:lineRule="auto"/>
              <w:jc w:val="right"/>
              <w:rPr>
                <w:rFonts w:cs="Arial"/>
                <w:color w:val="000000"/>
                <w:szCs w:val="20"/>
                <w:highlight w:val="yellow"/>
              </w:rPr>
            </w:pPr>
            <w:r w:rsidRPr="00FB38D3">
              <w:rPr>
                <w:rFonts w:cs="Arial"/>
                <w:color w:val="000000"/>
                <w:szCs w:val="20"/>
              </w:rPr>
              <w:t>233</w:t>
            </w:r>
          </w:p>
        </w:tc>
        <w:tc>
          <w:tcPr>
            <w:tcW w:w="198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1CD21732" w14:textId="77777777" w:rsidR="00B97CB7" w:rsidRPr="00EC68E2" w:rsidRDefault="00B97CB7" w:rsidP="00047560">
            <w:pPr>
              <w:spacing w:after="0" w:line="240" w:lineRule="auto"/>
              <w:jc w:val="right"/>
              <w:rPr>
                <w:rFonts w:cs="Arial"/>
                <w:color w:val="000000"/>
                <w:szCs w:val="20"/>
                <w:highlight w:val="yellow"/>
              </w:rPr>
            </w:pPr>
            <w:r w:rsidRPr="002B224C">
              <w:rPr>
                <w:rFonts w:cs="Arial"/>
                <w:color w:val="000000"/>
                <w:szCs w:val="20"/>
              </w:rPr>
              <w:t>176</w:t>
            </w:r>
          </w:p>
        </w:tc>
        <w:tc>
          <w:tcPr>
            <w:tcW w:w="15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42D0884B" w14:textId="77777777" w:rsidR="00B97CB7" w:rsidRPr="00EC68E2" w:rsidRDefault="00B97CB7" w:rsidP="00047560">
            <w:pPr>
              <w:spacing w:after="0" w:line="240" w:lineRule="auto"/>
              <w:jc w:val="right"/>
              <w:rPr>
                <w:rFonts w:cs="Arial"/>
                <w:color w:val="000000"/>
                <w:szCs w:val="20"/>
                <w:highlight w:val="yellow"/>
              </w:rPr>
            </w:pPr>
            <w:r w:rsidRPr="002B224C">
              <w:rPr>
                <w:rFonts w:cs="Arial"/>
                <w:color w:val="000000"/>
                <w:szCs w:val="20"/>
              </w:rPr>
              <w:t>2,423</w:t>
            </w:r>
          </w:p>
        </w:tc>
        <w:tc>
          <w:tcPr>
            <w:tcW w:w="170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550988C0" w14:textId="77777777" w:rsidR="00B97CB7" w:rsidRPr="00EC68E2" w:rsidRDefault="00B97CB7" w:rsidP="00047560">
            <w:pPr>
              <w:spacing w:after="0" w:line="240" w:lineRule="auto"/>
              <w:jc w:val="right"/>
              <w:rPr>
                <w:rFonts w:cs="Arial"/>
                <w:color w:val="000000"/>
                <w:szCs w:val="20"/>
                <w:highlight w:val="yellow"/>
              </w:rPr>
            </w:pPr>
            <w:r w:rsidRPr="002B224C">
              <w:rPr>
                <w:rFonts w:cs="Arial"/>
                <w:color w:val="000000"/>
                <w:szCs w:val="20"/>
              </w:rPr>
              <w:t>7.3%</w:t>
            </w:r>
          </w:p>
        </w:tc>
      </w:tr>
    </w:tbl>
    <w:p w14:paraId="6E01EF0A" w14:textId="77777777" w:rsidR="00B97CB7" w:rsidRPr="008E7494" w:rsidRDefault="00B97CB7" w:rsidP="00B97CB7"/>
    <w:p w14:paraId="5B3C512F" w14:textId="48068225" w:rsidR="00B97CB7" w:rsidRDefault="00B97CB7" w:rsidP="00B97CB7">
      <w:pPr>
        <w:rPr>
          <w:color w:val="000000"/>
        </w:rPr>
      </w:pPr>
      <w:r w:rsidRPr="008E7494">
        <w:rPr>
          <w:color w:val="000000"/>
        </w:rPr>
        <w:t>As at 30 June 201</w:t>
      </w:r>
      <w:r>
        <w:rPr>
          <w:color w:val="000000"/>
        </w:rPr>
        <w:t>9</w:t>
      </w:r>
      <w:r w:rsidRPr="008E7494">
        <w:rPr>
          <w:color w:val="000000"/>
        </w:rPr>
        <w:t xml:space="preserve"> </w:t>
      </w:r>
      <w:r w:rsidR="004807C5">
        <w:rPr>
          <w:color w:val="000000"/>
        </w:rPr>
        <w:t>140</w:t>
      </w:r>
      <w:r w:rsidR="004807C5" w:rsidRPr="008E7494">
        <w:rPr>
          <w:color w:val="000000"/>
        </w:rPr>
        <w:t xml:space="preserve"> </w:t>
      </w:r>
      <w:r w:rsidRPr="008E7494">
        <w:rPr>
          <w:color w:val="000000"/>
        </w:rPr>
        <w:t>clients were subject to a current CIM order</w:t>
      </w:r>
      <w:r>
        <w:rPr>
          <w:color w:val="000000"/>
        </w:rPr>
        <w:t>, although as can be seen</w:t>
      </w:r>
      <w:r w:rsidR="002A649F">
        <w:rPr>
          <w:color w:val="000000"/>
        </w:rPr>
        <w:t xml:space="preserve"> from</w:t>
      </w:r>
      <w:r>
        <w:rPr>
          <w:color w:val="000000"/>
        </w:rPr>
        <w:t xml:space="preserve"> table </w:t>
      </w:r>
      <w:r w:rsidR="00F376C8">
        <w:rPr>
          <w:color w:val="000000"/>
        </w:rPr>
        <w:t>2</w:t>
      </w:r>
      <w:r>
        <w:rPr>
          <w:color w:val="000000"/>
        </w:rPr>
        <w:t xml:space="preserve">, a </w:t>
      </w:r>
      <w:r w:rsidRPr="00F37919">
        <w:rPr>
          <w:color w:val="000000"/>
        </w:rPr>
        <w:t>total of 176 unique</w:t>
      </w:r>
      <w:r>
        <w:rPr>
          <w:color w:val="000000"/>
        </w:rPr>
        <w:t xml:space="preserve"> clients were placed on a CIM order throughout the entire 2018-19 year</w:t>
      </w:r>
      <w:r w:rsidRPr="008E7494">
        <w:rPr>
          <w:color w:val="000000"/>
        </w:rPr>
        <w:t>.</w:t>
      </w:r>
    </w:p>
    <w:p w14:paraId="2921D77F" w14:textId="77777777" w:rsidR="00B97CB7" w:rsidRPr="002C013C" w:rsidRDefault="00B97CB7" w:rsidP="00F855B1">
      <w:pPr>
        <w:pStyle w:val="Heading3"/>
        <w:rPr>
          <w:i/>
        </w:rPr>
      </w:pPr>
      <w:r w:rsidRPr="002C013C">
        <w:t>Commission staff</w:t>
      </w:r>
    </w:p>
    <w:p w14:paraId="1254FB8E" w14:textId="77777777" w:rsidR="00B97CB7" w:rsidRPr="008E7494" w:rsidRDefault="00B97CB7" w:rsidP="00B97CB7">
      <w:r w:rsidRPr="008E7494">
        <w:rPr>
          <w:color w:val="000000"/>
        </w:rPr>
        <w:t xml:space="preserve">I acknowledge the </w:t>
      </w:r>
      <w:r>
        <w:rPr>
          <w:color w:val="000000"/>
        </w:rPr>
        <w:t>professionalism</w:t>
      </w:r>
      <w:r w:rsidRPr="008E7494">
        <w:rPr>
          <w:color w:val="000000"/>
        </w:rPr>
        <w:t xml:space="preserve"> of </w:t>
      </w:r>
      <w:r>
        <w:rPr>
          <w:color w:val="000000"/>
        </w:rPr>
        <w:t xml:space="preserve">our </w:t>
      </w:r>
      <w:r w:rsidRPr="008E7494">
        <w:rPr>
          <w:color w:val="000000"/>
        </w:rPr>
        <w:t xml:space="preserve">Registrar Maxine McLeod and </w:t>
      </w:r>
      <w:r>
        <w:rPr>
          <w:color w:val="000000"/>
        </w:rPr>
        <w:t>Executive Officer (</w:t>
      </w:r>
      <w:r w:rsidRPr="008E7494">
        <w:rPr>
          <w:color w:val="000000"/>
        </w:rPr>
        <w:t>Finance</w:t>
      </w:r>
      <w:r>
        <w:rPr>
          <w:color w:val="000000"/>
        </w:rPr>
        <w:t>)</w:t>
      </w:r>
      <w:r w:rsidRPr="008E7494">
        <w:rPr>
          <w:color w:val="000000"/>
        </w:rPr>
        <w:t xml:space="preserve"> Tracey Paterson in the management of the Commission’s operations.</w:t>
      </w:r>
    </w:p>
    <w:p w14:paraId="614336F3" w14:textId="77777777" w:rsidR="00B97CB7" w:rsidRDefault="00B97CB7" w:rsidP="00B97CB7">
      <w:pPr>
        <w:rPr>
          <w:color w:val="000000"/>
        </w:rPr>
      </w:pPr>
      <w:r w:rsidRPr="008E7494">
        <w:rPr>
          <w:color w:val="000000"/>
        </w:rPr>
        <w:t xml:space="preserve">Our staff in Cairns and </w:t>
      </w:r>
      <w:r>
        <w:rPr>
          <w:color w:val="000000"/>
        </w:rPr>
        <w:t xml:space="preserve">the </w:t>
      </w:r>
      <w:r w:rsidRPr="008E7494">
        <w:rPr>
          <w:color w:val="000000"/>
        </w:rPr>
        <w:t>community based Local Coordinators</w:t>
      </w:r>
      <w:r>
        <w:rPr>
          <w:color w:val="000000"/>
        </w:rPr>
        <w:t xml:space="preserve"> have continued their commitment and</w:t>
      </w:r>
      <w:r w:rsidRPr="008E7494">
        <w:rPr>
          <w:color w:val="000000"/>
        </w:rPr>
        <w:t xml:space="preserve"> dedicat</w:t>
      </w:r>
      <w:r>
        <w:rPr>
          <w:color w:val="000000"/>
        </w:rPr>
        <w:t>ion in carrying out their respective duties, notwithstanding that each face continuing uncertainty about their futures.</w:t>
      </w:r>
    </w:p>
    <w:p w14:paraId="1C03A38E" w14:textId="77777777" w:rsidR="000B15B1" w:rsidRPr="00FA14D7" w:rsidRDefault="000B15B1" w:rsidP="00FA14D7">
      <w:pPr>
        <w:rPr>
          <w:color w:val="000000"/>
        </w:rPr>
      </w:pPr>
      <w:r w:rsidRPr="00FA14D7">
        <w:rPr>
          <w:color w:val="000000"/>
        </w:rPr>
        <w:br w:type="page"/>
      </w:r>
    </w:p>
    <w:p w14:paraId="6A9FE33D" w14:textId="64FEBF74" w:rsidR="00B97CB7" w:rsidRPr="002C013C" w:rsidRDefault="00B97CB7" w:rsidP="00F855B1">
      <w:pPr>
        <w:pStyle w:val="Heading3"/>
        <w:rPr>
          <w:i/>
        </w:rPr>
      </w:pPr>
      <w:r w:rsidRPr="002C013C">
        <w:lastRenderedPageBreak/>
        <w:t>The Commission’s future</w:t>
      </w:r>
    </w:p>
    <w:p w14:paraId="12DD88A2" w14:textId="4539409F" w:rsidR="00B97CB7" w:rsidRDefault="002A4E49" w:rsidP="00B97CB7">
      <w:r>
        <w:t xml:space="preserve">It must be recognised there have been no amendments to the FRC Act since </w:t>
      </w:r>
      <w:r w:rsidRPr="002A4E49">
        <w:t>2015</w:t>
      </w:r>
      <w:r w:rsidR="006522EE">
        <w:t>,</w:t>
      </w:r>
      <w:r>
        <w:t xml:space="preserve"> and I a</w:t>
      </w:r>
      <w:r w:rsidR="0068546A">
        <w:t>s Commissioner a</w:t>
      </w:r>
      <w:r>
        <w:t xml:space="preserve">m obliged </w:t>
      </w:r>
      <w:r w:rsidR="0068546A">
        <w:t>to</w:t>
      </w:r>
      <w:r>
        <w:t xml:space="preserve"> conduct the business of the Commission in accordance with its provisions. </w:t>
      </w:r>
      <w:r w:rsidR="00B97CB7">
        <w:t xml:space="preserve">The Commission’s partners, the State and Australian Governments, contribute equally to the funding of the Commission’s work in the four </w:t>
      </w:r>
      <w:r w:rsidR="002C1AFC">
        <w:t>w</w:t>
      </w:r>
      <w:r w:rsidR="00B97CB7">
        <w:t xml:space="preserve">elfare </w:t>
      </w:r>
      <w:r w:rsidR="002C1AFC">
        <w:t>r</w:t>
      </w:r>
      <w:r w:rsidR="00B97CB7">
        <w:t>eform communities</w:t>
      </w:r>
      <w:r w:rsidR="009E6AEF">
        <w:t xml:space="preserve"> of Aurukun, Coen, Hope Vale and Mossman Gorge</w:t>
      </w:r>
      <w:r w:rsidR="001928E3">
        <w:t>, with the State funding the community of Doomadgee</w:t>
      </w:r>
      <w:r w:rsidR="00B97CB7">
        <w:t>. They are not, however, in accord about the future operations of the Commission.</w:t>
      </w:r>
    </w:p>
    <w:p w14:paraId="57CF70CA" w14:textId="6C423452" w:rsidR="00B97CB7" w:rsidRPr="003B2311" w:rsidRDefault="00B97CB7" w:rsidP="00B97CB7">
      <w:r>
        <w:t xml:space="preserve">Prime Minister Scott Morrison MP affirmed his Government’s policy in Parliament on </w:t>
      </w:r>
      <w:r w:rsidR="002C1AFC">
        <w:t xml:space="preserve">29 </w:t>
      </w:r>
      <w:r>
        <w:t>November 2018 when he stated:</w:t>
      </w:r>
    </w:p>
    <w:p w14:paraId="4C26C93A" w14:textId="77777777" w:rsidR="00B97CB7" w:rsidRPr="00AA4A6B" w:rsidRDefault="00B97CB7" w:rsidP="00B97CB7">
      <w:pPr>
        <w:ind w:left="567" w:right="849"/>
        <w:rPr>
          <w:i/>
        </w:rPr>
      </w:pPr>
      <w:r w:rsidRPr="00AA4A6B">
        <w:rPr>
          <w:i/>
        </w:rPr>
        <w:t>“The Cape York Institute and the people of the Cape York Welfare Reform communities of Aurukun, Coen, Hope Vale and Mossman Gorge have been at the cutting edge of addressing welfare dependency and school attendance in this country. I commend all of those who have been part of that community-led approach.</w:t>
      </w:r>
      <w:bookmarkStart w:id="0" w:name="Turn071"/>
      <w:bookmarkEnd w:id="0"/>
    </w:p>
    <w:p w14:paraId="070299BB" w14:textId="77777777" w:rsidR="00B97CB7" w:rsidRPr="00CE07DA" w:rsidRDefault="00B97CB7" w:rsidP="00B97CB7">
      <w:pPr>
        <w:ind w:left="567" w:right="849"/>
        <w:rPr>
          <w:i/>
        </w:rPr>
      </w:pPr>
      <w:r w:rsidRPr="00AA4A6B">
        <w:rPr>
          <w:i/>
        </w:rPr>
        <w:t xml:space="preserve">The Family Responsibilities Commission is a model centred on the community that supported the restoration of the local Indigenous authority. The FRC is acknowledged as the most critical component of the CYWR, and the FRC conferences encourage individuals and families to engage in positive behaviours whilst promoting the interests, rights and wellbeing of children and vulnerable community members. The positive impact on communities has been driven by the excellent work of the </w:t>
      </w:r>
      <w:r>
        <w:rPr>
          <w:i/>
        </w:rPr>
        <w:t>L</w:t>
      </w:r>
      <w:r w:rsidRPr="00AA4A6B">
        <w:rPr>
          <w:i/>
        </w:rPr>
        <w:t xml:space="preserve">ocal </w:t>
      </w:r>
      <w:r>
        <w:rPr>
          <w:i/>
        </w:rPr>
        <w:t>C</w:t>
      </w:r>
      <w:r w:rsidRPr="00AA4A6B">
        <w:rPr>
          <w:i/>
        </w:rPr>
        <w:t>ommissioners. Taking such a strong stance against antisocial behaviour has been a very challenging and demanding commitment for these leaders</w:t>
      </w:r>
      <w:r>
        <w:rPr>
          <w:i/>
        </w:rPr>
        <w:t>,</w:t>
      </w:r>
      <w:r w:rsidRPr="00AA4A6B">
        <w:rPr>
          <w:i/>
        </w:rPr>
        <w:t xml:space="preserve"> however, they have stuck fast to their vision of strong communities that are free from the welfare trap. We should all commend them for the amazing work and their resilience.”</w:t>
      </w:r>
    </w:p>
    <w:p w14:paraId="09D03E61" w14:textId="468787C0" w:rsidR="00B97CB7" w:rsidRDefault="00B97CB7" w:rsidP="00B97CB7">
      <w:r>
        <w:t>Deputy Premier, Treasurer and M</w:t>
      </w:r>
      <w:r w:rsidRPr="004260A2">
        <w:rPr>
          <w:color w:val="000000"/>
        </w:rPr>
        <w:t>inister for Aboriginal and Torres Strait Islander Partnerships</w:t>
      </w:r>
      <w:r w:rsidR="0083017B">
        <w:rPr>
          <w:color w:val="000000"/>
        </w:rPr>
        <w:t>,</w:t>
      </w:r>
      <w:r>
        <w:rPr>
          <w:color w:val="000000"/>
        </w:rPr>
        <w:t xml:space="preserve"> </w:t>
      </w:r>
      <w:r>
        <w:t>the Hon</w:t>
      </w:r>
      <w:r w:rsidR="00DC21CC">
        <w:t>ourable</w:t>
      </w:r>
      <w:r>
        <w:t xml:space="preserve"> Jackie Trad MP</w:t>
      </w:r>
      <w:r w:rsidR="002B28AA">
        <w:t>,</w:t>
      </w:r>
      <w:r>
        <w:t xml:space="preserve"> advised State Parliament on presenting the Commission’s 2017–2018 Annual Report on Friday 22 March 2019:</w:t>
      </w:r>
    </w:p>
    <w:p w14:paraId="14F5BF7F" w14:textId="652FC8FF" w:rsidR="00B97CB7" w:rsidRPr="003B2311" w:rsidRDefault="00B97CB7" w:rsidP="00B97CB7">
      <w:pPr>
        <w:ind w:left="567" w:right="849"/>
        <w:rPr>
          <w:i/>
        </w:rPr>
      </w:pPr>
      <w:r w:rsidRPr="003B2311">
        <w:rPr>
          <w:i/>
        </w:rPr>
        <w:t>“The Queensland Government values the role of the Local Commissioners in re-establishing local authority and decision</w:t>
      </w:r>
      <w:r w:rsidR="00B84A5B">
        <w:rPr>
          <w:i/>
        </w:rPr>
        <w:t>-</w:t>
      </w:r>
      <w:r w:rsidRPr="003B2311">
        <w:rPr>
          <w:i/>
        </w:rPr>
        <w:t>making in the Welfare Reform communities.</w:t>
      </w:r>
    </w:p>
    <w:p w14:paraId="32C01DB7" w14:textId="77777777" w:rsidR="00B97CB7" w:rsidRPr="003B2311" w:rsidRDefault="00B97CB7" w:rsidP="00B97CB7">
      <w:pPr>
        <w:ind w:left="567" w:right="849"/>
        <w:rPr>
          <w:i/>
        </w:rPr>
      </w:pPr>
      <w:r w:rsidRPr="003B2311">
        <w:rPr>
          <w:i/>
        </w:rPr>
        <w:t>In the last year, they held 2,539 conferences to provide personalised support, and made 122 referrals to service providers for 107 clients.</w:t>
      </w:r>
    </w:p>
    <w:p w14:paraId="0F40C043" w14:textId="77777777" w:rsidR="00B97CB7" w:rsidRPr="003B2311" w:rsidRDefault="00B97CB7" w:rsidP="00B97CB7">
      <w:pPr>
        <w:ind w:left="567" w:right="849"/>
        <w:rPr>
          <w:i/>
        </w:rPr>
      </w:pPr>
      <w:r w:rsidRPr="003B2311">
        <w:rPr>
          <w:i/>
        </w:rPr>
        <w:t>We will continue to support and build on the work done by the FRC Local Commissioners as part of the Queensland Government’s Local Thriving Communities reform agenda which is being led by the Department of Aboriginal and Torres Strait Islander Partnerships.</w:t>
      </w:r>
    </w:p>
    <w:p w14:paraId="421C8875" w14:textId="77777777" w:rsidR="00B97CB7" w:rsidRPr="003B2311" w:rsidRDefault="00B97CB7" w:rsidP="00B97CB7">
      <w:pPr>
        <w:ind w:left="567" w:right="849"/>
        <w:rPr>
          <w:i/>
        </w:rPr>
      </w:pPr>
      <w:r w:rsidRPr="003B2311">
        <w:rPr>
          <w:i/>
        </w:rPr>
        <w:t>The reform comes in response to a Queensland Productivity Commission inquiry into service delivery in Queensland’s 19 remote and discrete communities, including the Welfare Reform communities.</w:t>
      </w:r>
    </w:p>
    <w:p w14:paraId="5BABBA3B" w14:textId="77777777" w:rsidR="00B97CB7" w:rsidRPr="003B2311" w:rsidRDefault="00B97CB7" w:rsidP="00B97CB7">
      <w:pPr>
        <w:ind w:left="567" w:right="849"/>
        <w:rPr>
          <w:i/>
        </w:rPr>
      </w:pPr>
      <w:r w:rsidRPr="003B2311">
        <w:rPr>
          <w:i/>
        </w:rPr>
        <w:t>It also responds to requests from Mayors and other Indigenous leaders in these communities for better governance, economic opportunities, and greater community engagement in planning and delivery.</w:t>
      </w:r>
    </w:p>
    <w:p w14:paraId="66145F72" w14:textId="77777777" w:rsidR="00B97CB7" w:rsidRPr="003B2311" w:rsidRDefault="00B97CB7" w:rsidP="00B97CB7">
      <w:pPr>
        <w:ind w:left="567" w:right="849"/>
        <w:rPr>
          <w:i/>
        </w:rPr>
      </w:pPr>
      <w:r w:rsidRPr="003B2311">
        <w:rPr>
          <w:i/>
        </w:rPr>
        <w:t>The Local Thriving Communities agenda will be co-designed with remote and discrete community members and will honour the role of communities in identifying their own priorities and solutions to issues.</w:t>
      </w:r>
    </w:p>
    <w:p w14:paraId="369E757A" w14:textId="77777777" w:rsidR="00B97CB7" w:rsidRPr="003B2311" w:rsidRDefault="00B97CB7" w:rsidP="00B97CB7">
      <w:pPr>
        <w:ind w:left="567" w:right="849"/>
        <w:rPr>
          <w:i/>
        </w:rPr>
      </w:pPr>
      <w:r w:rsidRPr="003B2311">
        <w:rPr>
          <w:i/>
        </w:rPr>
        <w:lastRenderedPageBreak/>
        <w:t>It will build on existing strengths, leverage local leadership and be delivered with a local emphasis, meaning that priorities and the way they are addressed may differ across communities.</w:t>
      </w:r>
    </w:p>
    <w:p w14:paraId="780D93B9" w14:textId="77777777" w:rsidR="00B97CB7" w:rsidRPr="003B2311" w:rsidRDefault="00B97CB7" w:rsidP="00B97CB7">
      <w:pPr>
        <w:ind w:left="567" w:right="849"/>
        <w:rPr>
          <w:i/>
        </w:rPr>
      </w:pPr>
      <w:r w:rsidRPr="003B2311">
        <w:rPr>
          <w:i/>
        </w:rPr>
        <w:t xml:space="preserve">Stakeholders like the Local Commissioners will be critical to understanding existing support </w:t>
      </w:r>
      <w:proofErr w:type="gramStart"/>
      <w:r w:rsidRPr="003B2311">
        <w:rPr>
          <w:i/>
        </w:rPr>
        <w:t>structures,</w:t>
      </w:r>
      <w:r>
        <w:rPr>
          <w:i/>
        </w:rPr>
        <w:t xml:space="preserve"> </w:t>
      </w:r>
      <w:r w:rsidRPr="003B2311">
        <w:rPr>
          <w:i/>
        </w:rPr>
        <w:t>and</w:t>
      </w:r>
      <w:proofErr w:type="gramEnd"/>
      <w:r w:rsidRPr="003B2311">
        <w:rPr>
          <w:i/>
        </w:rPr>
        <w:t xml:space="preserve"> designing and delivering effective future plans that empower Queensland’s remote and discrete communities to thrive.</w:t>
      </w:r>
    </w:p>
    <w:p w14:paraId="3BE90835" w14:textId="77777777" w:rsidR="00B97CB7" w:rsidRPr="00CE07DA" w:rsidRDefault="00B97CB7" w:rsidP="00B97CB7">
      <w:pPr>
        <w:ind w:left="567" w:right="849"/>
        <w:rPr>
          <w:i/>
        </w:rPr>
      </w:pPr>
      <w:r w:rsidRPr="003B2311">
        <w:rPr>
          <w:i/>
        </w:rPr>
        <w:t>Community engagement on the Welfare Reform program, including the FRC, and the co-design process for Local Thriving Communities reform will occur through 2019.</w:t>
      </w:r>
      <w:r>
        <w:rPr>
          <w:i/>
        </w:rPr>
        <w:t>”</w:t>
      </w:r>
    </w:p>
    <w:p w14:paraId="75ECB796" w14:textId="77777777" w:rsidR="00B97CB7" w:rsidRDefault="00B97CB7" w:rsidP="00B97CB7">
      <w:r w:rsidRPr="00DB43FB">
        <w:rPr>
          <w:rFonts w:cs="Arial"/>
          <w:szCs w:val="20"/>
        </w:rPr>
        <w:t xml:space="preserve">The </w:t>
      </w:r>
      <w:r w:rsidRPr="001355A5">
        <w:rPr>
          <w:rFonts w:cs="Arial"/>
          <w:szCs w:val="20"/>
        </w:rPr>
        <w:t>Queensland Productivity Commission</w:t>
      </w:r>
      <w:r w:rsidR="00857AFA" w:rsidRPr="001355A5">
        <w:rPr>
          <w:rFonts w:cs="Arial"/>
          <w:szCs w:val="20"/>
        </w:rPr>
        <w:t xml:space="preserve"> (QPC)</w:t>
      </w:r>
      <w:r w:rsidRPr="001355A5">
        <w:rPr>
          <w:rFonts w:cs="Arial"/>
          <w:szCs w:val="20"/>
        </w:rPr>
        <w:t xml:space="preserve"> inquiry into service delivery in remote and discrete Aboriginal and Torres Strait Islander communities</w:t>
      </w:r>
      <w:r w:rsidRPr="00A4368D">
        <w:rPr>
          <w:rFonts w:cs="Arial"/>
          <w:szCs w:val="20"/>
        </w:rPr>
        <w:t xml:space="preserve"> is</w:t>
      </w:r>
      <w:r>
        <w:rPr>
          <w:rFonts w:cs="Arial"/>
          <w:szCs w:val="20"/>
        </w:rPr>
        <w:t xml:space="preserve"> </w:t>
      </w:r>
      <w:r w:rsidRPr="00A4368D">
        <w:rPr>
          <w:rFonts w:cs="Arial"/>
          <w:szCs w:val="20"/>
        </w:rPr>
        <w:t xml:space="preserve">available at: </w:t>
      </w:r>
      <w:hyperlink r:id="rId8" w:history="1">
        <w:r w:rsidRPr="00EA2F62">
          <w:rPr>
            <w:rStyle w:val="Hyperlink"/>
          </w:rPr>
          <w:t>https://www.qpc.qld.gov.au/inquiries/service-delivery-in-queenslands-remote-and-discrete-indigenous-communities/</w:t>
        </w:r>
      </w:hyperlink>
      <w:r>
        <w:t>.</w:t>
      </w:r>
    </w:p>
    <w:p w14:paraId="154BE9A2" w14:textId="77777777" w:rsidR="00B97CB7" w:rsidRDefault="00B97CB7" w:rsidP="00B97CB7">
      <w:pPr>
        <w:rPr>
          <w:color w:val="000000"/>
        </w:rPr>
      </w:pPr>
      <w:r w:rsidRPr="00CE07DA">
        <w:rPr>
          <w:color w:val="000000"/>
        </w:rPr>
        <w:t xml:space="preserve">QPC Commissioner Bronwyn Fredericks who chaired the Inquiry has been clear publicly that the report cannot be used by </w:t>
      </w:r>
      <w:r>
        <w:rPr>
          <w:color w:val="000000"/>
        </w:rPr>
        <w:t>G</w:t>
      </w:r>
      <w:r w:rsidRPr="00CE07DA">
        <w:rPr>
          <w:color w:val="000000"/>
        </w:rPr>
        <w:t xml:space="preserve">overnment to justify transitioning from the FRC, or any other program. As the QPC report itself explicitly states, the focus of the inquiry </w:t>
      </w:r>
      <w:r w:rsidRPr="005B3391">
        <w:rPr>
          <w:i/>
          <w:color w:val="000000"/>
        </w:rPr>
        <w:t>was “to examine the overarching policy, governance and funding framework that overlays all services”</w:t>
      </w:r>
      <w:r w:rsidRPr="00CE07DA">
        <w:rPr>
          <w:color w:val="000000"/>
        </w:rPr>
        <w:t xml:space="preserve"> across all remote and discrete Indigenous communities </w:t>
      </w:r>
      <w:r w:rsidRPr="00F52B07">
        <w:rPr>
          <w:color w:val="000000"/>
        </w:rPr>
        <w:t>(</w:t>
      </w:r>
      <w:r>
        <w:rPr>
          <w:color w:val="000000"/>
        </w:rPr>
        <w:t xml:space="preserve">page ix of the </w:t>
      </w:r>
      <w:hyperlink r:id="rId9" w:history="1">
        <w:r w:rsidRPr="00F52B07">
          <w:rPr>
            <w:rStyle w:val="Hyperlink"/>
          </w:rPr>
          <w:t>FINAL REPORT into Service delivery in remote and discrete Aboriginal and Torres Strait Islander communities</w:t>
        </w:r>
      </w:hyperlink>
      <w:r w:rsidRPr="00F52B07">
        <w:rPr>
          <w:color w:val="000000"/>
        </w:rPr>
        <w:t>).</w:t>
      </w:r>
    </w:p>
    <w:p w14:paraId="1C4EB44F" w14:textId="1EEC7FF6" w:rsidR="00B97CB7" w:rsidRPr="00EF5198" w:rsidRDefault="00B97CB7" w:rsidP="00B97CB7">
      <w:pPr>
        <w:rPr>
          <w:rFonts w:cs="Arial"/>
          <w:szCs w:val="20"/>
        </w:rPr>
      </w:pPr>
      <w:r w:rsidRPr="00EF5198">
        <w:rPr>
          <w:rFonts w:cs="Arial"/>
          <w:szCs w:val="20"/>
        </w:rPr>
        <w:t xml:space="preserve">The </w:t>
      </w:r>
      <w:r w:rsidRPr="001355A5">
        <w:rPr>
          <w:rFonts w:cs="Arial"/>
          <w:szCs w:val="20"/>
        </w:rPr>
        <w:t>Strategic Review of Cape York Income Management</w:t>
      </w:r>
      <w:r w:rsidR="00D9279B">
        <w:rPr>
          <w:rFonts w:cs="Arial"/>
          <w:szCs w:val="20"/>
        </w:rPr>
        <w:t xml:space="preserve"> report</w:t>
      </w:r>
      <w:r w:rsidRPr="00EF5198">
        <w:rPr>
          <w:rFonts w:cs="Arial"/>
          <w:i/>
          <w:szCs w:val="20"/>
        </w:rPr>
        <w:t xml:space="preserve"> </w:t>
      </w:r>
      <w:r w:rsidR="00C64812" w:rsidRPr="00C64812">
        <w:rPr>
          <w:rFonts w:cs="Arial"/>
          <w:szCs w:val="20"/>
        </w:rPr>
        <w:t>(</w:t>
      </w:r>
      <w:hyperlink r:id="rId10" w:history="1">
        <w:r w:rsidR="00C64812" w:rsidRPr="00C64812">
          <w:rPr>
            <w:rStyle w:val="Hyperlink"/>
            <w:rFonts w:cs="Arial"/>
            <w:szCs w:val="20"/>
          </w:rPr>
          <w:t>https://www.dss.gov.au/families-and-children-programs-services-welfare-quarantining-income-management/strategic-review-of-cape-york-income-management</w:t>
        </w:r>
      </w:hyperlink>
      <w:r w:rsidR="00C64812">
        <w:rPr>
          <w:rFonts w:cs="Arial"/>
          <w:szCs w:val="20"/>
        </w:rPr>
        <w:t xml:space="preserve">) produced </w:t>
      </w:r>
      <w:r w:rsidRPr="00EF5198">
        <w:rPr>
          <w:rFonts w:cs="Arial"/>
          <w:szCs w:val="20"/>
        </w:rPr>
        <w:t xml:space="preserve">by Professor John Scott of the Queensland </w:t>
      </w:r>
      <w:r w:rsidR="00E4268C">
        <w:rPr>
          <w:rFonts w:cs="Arial"/>
          <w:szCs w:val="20"/>
        </w:rPr>
        <w:t>University</w:t>
      </w:r>
      <w:r w:rsidR="00E4268C" w:rsidRPr="00EF5198">
        <w:rPr>
          <w:rFonts w:cs="Arial"/>
          <w:szCs w:val="20"/>
        </w:rPr>
        <w:t xml:space="preserve"> </w:t>
      </w:r>
      <w:r w:rsidRPr="00EF5198">
        <w:rPr>
          <w:rFonts w:cs="Arial"/>
          <w:szCs w:val="20"/>
        </w:rPr>
        <w:t xml:space="preserve">of Technology </w:t>
      </w:r>
      <w:r w:rsidR="00832C6D">
        <w:rPr>
          <w:rFonts w:cs="Arial"/>
          <w:szCs w:val="20"/>
        </w:rPr>
        <w:t xml:space="preserve">(QUT) </w:t>
      </w:r>
      <w:r w:rsidRPr="00EF5198">
        <w:rPr>
          <w:rFonts w:cs="Arial"/>
          <w:szCs w:val="20"/>
        </w:rPr>
        <w:t xml:space="preserve">on behalf of the Department of Social </w:t>
      </w:r>
      <w:r w:rsidR="00324BC2">
        <w:rPr>
          <w:rFonts w:cs="Arial"/>
          <w:szCs w:val="20"/>
        </w:rPr>
        <w:t>Services</w:t>
      </w:r>
      <w:r w:rsidR="00811CF2">
        <w:rPr>
          <w:rFonts w:cs="Arial"/>
          <w:szCs w:val="20"/>
        </w:rPr>
        <w:t xml:space="preserve"> (DSS)</w:t>
      </w:r>
      <w:r w:rsidR="00324BC2" w:rsidRPr="00EF5198">
        <w:rPr>
          <w:rFonts w:cs="Arial"/>
          <w:szCs w:val="20"/>
        </w:rPr>
        <w:t xml:space="preserve"> </w:t>
      </w:r>
      <w:r w:rsidRPr="00EF5198">
        <w:rPr>
          <w:rFonts w:cs="Arial"/>
          <w:szCs w:val="20"/>
        </w:rPr>
        <w:t>in November 2018</w:t>
      </w:r>
      <w:r w:rsidR="00C64812">
        <w:rPr>
          <w:rFonts w:cs="Arial"/>
          <w:szCs w:val="20"/>
        </w:rPr>
        <w:t xml:space="preserve"> stated</w:t>
      </w:r>
      <w:r w:rsidRPr="00EF5198">
        <w:rPr>
          <w:rFonts w:cs="Arial"/>
          <w:szCs w:val="20"/>
        </w:rPr>
        <w:t>:</w:t>
      </w:r>
    </w:p>
    <w:p w14:paraId="126806FB" w14:textId="7896CDCC" w:rsidR="00B97CB7" w:rsidRPr="000318DD" w:rsidRDefault="00B97CB7" w:rsidP="00B97CB7">
      <w:pPr>
        <w:ind w:left="567" w:right="849"/>
        <w:rPr>
          <w:i/>
        </w:rPr>
      </w:pPr>
      <w:r>
        <w:rPr>
          <w:i/>
        </w:rPr>
        <w:t>“</w:t>
      </w:r>
      <w:r w:rsidRPr="000318DD">
        <w:rPr>
          <w:i/>
        </w:rPr>
        <w:t xml:space="preserve">There is a clear view in the current CYWR communities that the FRC should continue in some form; presumably because this goal of community-wide empowerment has not yet been achieved. With regard to any continuation of CYIM specifically, a Hope Vale Local Commissioner (in Focus Group 2, 2018, p. 26) stated,  </w:t>
      </w:r>
      <w:r>
        <w:rPr>
          <w:i/>
        </w:rPr>
        <w:t>‘</w:t>
      </w:r>
      <w:r w:rsidRPr="000318DD">
        <w:rPr>
          <w:i/>
        </w:rPr>
        <w:t>My concern is that, you know, you got all the findings, you have picked our brain about what’s good, what’s bad</w:t>
      </w:r>
      <w:r>
        <w:rPr>
          <w:i/>
        </w:rPr>
        <w:t>,</w:t>
      </w:r>
      <w:r w:rsidRPr="000318DD">
        <w:rPr>
          <w:i/>
        </w:rPr>
        <w:t xml:space="preserve"> what’s been, you know… and then the Government think they can do it [deliver CYIM] on their own. They cannot. That’s the clear message out of this. The Government cannot do this, without a body managing it on the ground…</w:t>
      </w:r>
      <w:r w:rsidR="00FB6490">
        <w:rPr>
          <w:i/>
        </w:rPr>
        <w:t>’</w:t>
      </w:r>
      <w:r w:rsidRPr="000318DD">
        <w:rPr>
          <w:i/>
        </w:rPr>
        <w:t xml:space="preserve"> </w:t>
      </w:r>
    </w:p>
    <w:p w14:paraId="3BE07B37" w14:textId="77777777" w:rsidR="00B97CB7" w:rsidRPr="000318DD" w:rsidRDefault="00B97CB7" w:rsidP="00B97CB7">
      <w:pPr>
        <w:ind w:left="567" w:right="849"/>
        <w:rPr>
          <w:i/>
        </w:rPr>
      </w:pPr>
      <w:r w:rsidRPr="000318DD">
        <w:rPr>
          <w:i/>
        </w:rPr>
        <w:t xml:space="preserve">This view is supported by the findings of this review; CYIM </w:t>
      </w:r>
      <w:proofErr w:type="gramStart"/>
      <w:r w:rsidRPr="000318DD">
        <w:rPr>
          <w:i/>
        </w:rPr>
        <w:t>is able</w:t>
      </w:r>
      <w:r>
        <w:rPr>
          <w:i/>
        </w:rPr>
        <w:t xml:space="preserve"> </w:t>
      </w:r>
      <w:r w:rsidRPr="000318DD">
        <w:rPr>
          <w:i/>
        </w:rPr>
        <w:t>to</w:t>
      </w:r>
      <w:proofErr w:type="gramEnd"/>
      <w:r w:rsidRPr="000318DD">
        <w:rPr>
          <w:i/>
        </w:rPr>
        <w:t xml:space="preserve"> overcome many of the problems with IM schemes elsewhere because it is delivered through the context of the FRC. This context is a key component of any ‘successes’ that can be attributed to the Cape York scheme.</w:t>
      </w:r>
      <w:r>
        <w:rPr>
          <w:i/>
        </w:rPr>
        <w:t>”</w:t>
      </w:r>
      <w:r w:rsidRPr="000318DD">
        <w:rPr>
          <w:i/>
        </w:rPr>
        <w:t xml:space="preserve"> </w:t>
      </w:r>
      <w:r w:rsidRPr="002B6454">
        <w:t>(page 84</w:t>
      </w:r>
      <w:r w:rsidRPr="000318DD">
        <w:rPr>
          <w:i/>
        </w:rPr>
        <w:t>)</w:t>
      </w:r>
    </w:p>
    <w:p w14:paraId="2DE3B104" w14:textId="19577423" w:rsidR="00B97CB7" w:rsidRPr="006D14D4" w:rsidRDefault="00B97CB7" w:rsidP="00B97CB7">
      <w:r>
        <w:t>Further at page 90</w:t>
      </w:r>
      <w:r w:rsidR="00C64812">
        <w:t>:</w:t>
      </w:r>
    </w:p>
    <w:p w14:paraId="130ABD99" w14:textId="42DE30EA" w:rsidR="00B97CB7" w:rsidRPr="002B6454" w:rsidRDefault="00B97CB7" w:rsidP="00B97CB7">
      <w:pPr>
        <w:ind w:left="567" w:right="849"/>
        <w:rPr>
          <w:i/>
        </w:rPr>
      </w:pPr>
      <w:r>
        <w:rPr>
          <w:i/>
        </w:rPr>
        <w:t>“</w:t>
      </w:r>
      <w:r w:rsidRPr="002B6454">
        <w:rPr>
          <w:i/>
        </w:rPr>
        <w:t>Cape York communities are looking to make a decision about evolving from CYWR towards new arrangements based on the empowerment/development model. There is an expectation from communities that this review will inform a decision about the future of welfare quarantining in Cape York and what role the current CYIM approach can/should have in any future models. Different communities have different needs and may come to different conclusions. Consultation and implementation are critically important to any future extension of the CYWR, FRC and/or CYIM. Consultation should be broad (involving a significant proportion of the community) and deep (i.e. cover not just theoretical models, but also the realities of how the models would apply in practice). By gaining widespread, informed endorsement of any future models, it may be possible to improve early take-up and support of any new models</w:t>
      </w:r>
      <w:r w:rsidRPr="002B6454">
        <w:t>.”</w:t>
      </w:r>
    </w:p>
    <w:p w14:paraId="23D2D4BF" w14:textId="58B84EA7" w:rsidR="00D915DC" w:rsidRDefault="008E5989" w:rsidP="00B97CB7">
      <w:pPr>
        <w:rPr>
          <w:rFonts w:cs="Arial"/>
          <w:bCs/>
          <w:szCs w:val="20"/>
          <w:lang w:val="en-US"/>
        </w:rPr>
      </w:pPr>
      <w:r>
        <w:rPr>
          <w:rFonts w:cs="Arial"/>
          <w:bCs/>
          <w:szCs w:val="20"/>
          <w:lang w:val="en-US"/>
        </w:rPr>
        <w:lastRenderedPageBreak/>
        <w:t xml:space="preserve">According to information provided </w:t>
      </w:r>
      <w:r w:rsidR="00D915DC">
        <w:rPr>
          <w:rFonts w:cs="Arial"/>
          <w:bCs/>
          <w:szCs w:val="20"/>
          <w:lang w:val="en-US"/>
        </w:rPr>
        <w:t xml:space="preserve">to me </w:t>
      </w:r>
      <w:r w:rsidR="006225E9">
        <w:rPr>
          <w:rFonts w:cs="Arial"/>
          <w:bCs/>
          <w:szCs w:val="20"/>
          <w:lang w:val="en-US"/>
        </w:rPr>
        <w:t xml:space="preserve">by </w:t>
      </w:r>
      <w:r w:rsidR="009126C1">
        <w:rPr>
          <w:rFonts w:cs="Arial"/>
          <w:bCs/>
          <w:szCs w:val="20"/>
          <w:lang w:val="en-US"/>
        </w:rPr>
        <w:t>DATSIP</w:t>
      </w:r>
      <w:r w:rsidR="00D915DC">
        <w:rPr>
          <w:rFonts w:cs="Arial"/>
          <w:bCs/>
          <w:szCs w:val="20"/>
          <w:lang w:val="en-US"/>
        </w:rPr>
        <w:t xml:space="preserve"> through their ‘Thriving Remote and Discrete Aboriginal and Torres Strait Islander Communities Fact Sheet’</w:t>
      </w:r>
      <w:r>
        <w:rPr>
          <w:rFonts w:cs="Arial"/>
          <w:bCs/>
          <w:szCs w:val="20"/>
          <w:lang w:val="en-US"/>
        </w:rPr>
        <w:t xml:space="preserve">, </w:t>
      </w:r>
      <w:r w:rsidR="00913BCE">
        <w:rPr>
          <w:rFonts w:cs="Arial"/>
          <w:bCs/>
          <w:szCs w:val="20"/>
          <w:lang w:val="en-US"/>
        </w:rPr>
        <w:t>Local Thriving Communities</w:t>
      </w:r>
      <w:r>
        <w:rPr>
          <w:rFonts w:cs="Arial"/>
          <w:bCs/>
          <w:szCs w:val="20"/>
          <w:lang w:val="en-US"/>
        </w:rPr>
        <w:t xml:space="preserve"> will focus on building </w:t>
      </w:r>
      <w:r w:rsidR="009126C1">
        <w:rPr>
          <w:rFonts w:cs="Arial"/>
          <w:bCs/>
          <w:szCs w:val="20"/>
          <w:lang w:val="en-US"/>
        </w:rPr>
        <w:t>structural reform (local decision-making through community owned governance structur</w:t>
      </w:r>
      <w:r w:rsidR="00FB6452">
        <w:rPr>
          <w:rFonts w:cs="Arial"/>
          <w:bCs/>
          <w:szCs w:val="20"/>
          <w:lang w:val="en-US"/>
        </w:rPr>
        <w:t>e</w:t>
      </w:r>
      <w:r w:rsidR="009126C1">
        <w:rPr>
          <w:rFonts w:cs="Arial"/>
          <w:bCs/>
          <w:szCs w:val="20"/>
          <w:lang w:val="en-US"/>
        </w:rPr>
        <w:t>s</w:t>
      </w:r>
      <w:r w:rsidR="00FB6452">
        <w:rPr>
          <w:rFonts w:cs="Arial"/>
          <w:bCs/>
          <w:szCs w:val="20"/>
          <w:lang w:val="en-US"/>
        </w:rPr>
        <w:t>)</w:t>
      </w:r>
      <w:r w:rsidR="009126C1">
        <w:rPr>
          <w:rFonts w:cs="Arial"/>
          <w:bCs/>
          <w:szCs w:val="20"/>
          <w:lang w:val="en-US"/>
        </w:rPr>
        <w:t>, service delivery reform</w:t>
      </w:r>
      <w:r w:rsidR="00FB6452">
        <w:rPr>
          <w:rFonts w:cs="Arial"/>
          <w:bCs/>
          <w:szCs w:val="20"/>
          <w:lang w:val="en-US"/>
        </w:rPr>
        <w:t xml:space="preserve"> and economic reform. T</w:t>
      </w:r>
      <w:r>
        <w:rPr>
          <w:rFonts w:cs="Arial"/>
          <w:bCs/>
          <w:szCs w:val="20"/>
          <w:lang w:val="en-US"/>
        </w:rPr>
        <w:t>h</w:t>
      </w:r>
      <w:r w:rsidR="00FB6452">
        <w:rPr>
          <w:rFonts w:cs="Arial"/>
          <w:bCs/>
          <w:szCs w:val="20"/>
          <w:lang w:val="en-US"/>
        </w:rPr>
        <w:t>is is reform work at the community level aimed at r</w:t>
      </w:r>
      <w:r>
        <w:rPr>
          <w:rFonts w:cs="Arial"/>
          <w:bCs/>
          <w:szCs w:val="20"/>
          <w:lang w:val="en-US"/>
        </w:rPr>
        <w:t>e</w:t>
      </w:r>
      <w:r w:rsidR="006225E9">
        <w:rPr>
          <w:rFonts w:cs="Arial"/>
          <w:bCs/>
          <w:szCs w:val="20"/>
          <w:lang w:val="en-US"/>
        </w:rPr>
        <w:t>fram</w:t>
      </w:r>
      <w:r w:rsidR="00FB6452">
        <w:rPr>
          <w:rFonts w:cs="Arial"/>
          <w:bCs/>
          <w:szCs w:val="20"/>
          <w:lang w:val="en-US"/>
        </w:rPr>
        <w:t>ing</w:t>
      </w:r>
      <w:r w:rsidR="006225E9">
        <w:rPr>
          <w:rFonts w:cs="Arial"/>
          <w:bCs/>
          <w:szCs w:val="20"/>
          <w:lang w:val="en-US"/>
        </w:rPr>
        <w:t xml:space="preserve"> the relationship </w:t>
      </w:r>
      <w:r w:rsidR="00F97B5D">
        <w:rPr>
          <w:rFonts w:cs="Arial"/>
          <w:bCs/>
          <w:szCs w:val="20"/>
          <w:lang w:val="en-US"/>
        </w:rPr>
        <w:t>between the Queensland</w:t>
      </w:r>
      <w:r w:rsidR="006225E9">
        <w:rPr>
          <w:rFonts w:cs="Arial"/>
          <w:bCs/>
          <w:szCs w:val="20"/>
          <w:lang w:val="en-US"/>
        </w:rPr>
        <w:t xml:space="preserve"> Government </w:t>
      </w:r>
      <w:r w:rsidR="00F97B5D">
        <w:rPr>
          <w:rFonts w:cs="Arial"/>
          <w:bCs/>
          <w:szCs w:val="20"/>
          <w:lang w:val="en-US"/>
        </w:rPr>
        <w:t xml:space="preserve">and </w:t>
      </w:r>
      <w:r w:rsidR="006225E9">
        <w:rPr>
          <w:rFonts w:cs="Arial"/>
          <w:bCs/>
          <w:szCs w:val="20"/>
          <w:lang w:val="en-US"/>
        </w:rPr>
        <w:t>the communities.</w:t>
      </w:r>
    </w:p>
    <w:p w14:paraId="7D783DA9" w14:textId="2098DFEA" w:rsidR="00913BCE" w:rsidRDefault="006225E9" w:rsidP="00B97CB7">
      <w:pPr>
        <w:rPr>
          <w:rFonts w:cs="Arial"/>
          <w:bCs/>
          <w:szCs w:val="20"/>
          <w:lang w:val="en-US"/>
        </w:rPr>
      </w:pPr>
      <w:r>
        <w:rPr>
          <w:rFonts w:cs="Arial"/>
          <w:bCs/>
          <w:szCs w:val="20"/>
          <w:lang w:val="en-US"/>
        </w:rPr>
        <w:t xml:space="preserve">The Commission, on the other hand, works at the individual level, </w:t>
      </w:r>
      <w:r w:rsidR="009126C1">
        <w:rPr>
          <w:rFonts w:cs="Arial"/>
          <w:bCs/>
          <w:szCs w:val="20"/>
          <w:lang w:val="en-US"/>
        </w:rPr>
        <w:t>assisting the individual</w:t>
      </w:r>
      <w:r>
        <w:rPr>
          <w:rFonts w:cs="Arial"/>
          <w:bCs/>
          <w:szCs w:val="20"/>
          <w:lang w:val="en-US"/>
        </w:rPr>
        <w:t xml:space="preserve"> to resume primary responsibility for the</w:t>
      </w:r>
      <w:r w:rsidR="009126C1">
        <w:rPr>
          <w:rFonts w:cs="Arial"/>
          <w:bCs/>
          <w:szCs w:val="20"/>
          <w:lang w:val="en-US"/>
        </w:rPr>
        <w:t>ir</w:t>
      </w:r>
      <w:r>
        <w:rPr>
          <w:rFonts w:cs="Arial"/>
          <w:bCs/>
          <w:szCs w:val="20"/>
          <w:lang w:val="en-US"/>
        </w:rPr>
        <w:t xml:space="preserve"> wellbeing </w:t>
      </w:r>
      <w:r w:rsidR="009126C1">
        <w:rPr>
          <w:rFonts w:cs="Arial"/>
          <w:bCs/>
          <w:szCs w:val="20"/>
          <w:lang w:val="en-US"/>
        </w:rPr>
        <w:t xml:space="preserve">and subsequently the wellbeing of their families - </w:t>
      </w:r>
      <w:r>
        <w:rPr>
          <w:rFonts w:cs="Arial"/>
          <w:bCs/>
          <w:szCs w:val="20"/>
          <w:lang w:val="en-US"/>
        </w:rPr>
        <w:t>promoting the individual’s social responsibility. I</w:t>
      </w:r>
      <w:r w:rsidR="00913BCE">
        <w:rPr>
          <w:rFonts w:cs="Arial"/>
          <w:bCs/>
          <w:szCs w:val="20"/>
          <w:lang w:val="en-US"/>
        </w:rPr>
        <w:t xml:space="preserve">t is my view that the Commission and Local Thriving Communities could work side by side as they have different and distinct functions which could complement each other. The Commission seeks to promote social responsibility </w:t>
      </w:r>
      <w:r w:rsidR="008E5989">
        <w:rPr>
          <w:rFonts w:cs="Arial"/>
          <w:bCs/>
          <w:szCs w:val="20"/>
          <w:lang w:val="en-US"/>
        </w:rPr>
        <w:t xml:space="preserve">and Indigenous authority, </w:t>
      </w:r>
      <w:r w:rsidR="00913BCE">
        <w:rPr>
          <w:rFonts w:cs="Arial"/>
          <w:bCs/>
          <w:szCs w:val="20"/>
          <w:lang w:val="en-US"/>
        </w:rPr>
        <w:t>whilst Local Thriving Communities seeks to empower local community groups to make decisions regarding the provision of service</w:t>
      </w:r>
      <w:r w:rsidR="008E5989">
        <w:rPr>
          <w:rFonts w:cs="Arial"/>
          <w:bCs/>
          <w:szCs w:val="20"/>
          <w:lang w:val="en-US"/>
        </w:rPr>
        <w:t>s</w:t>
      </w:r>
      <w:r w:rsidR="00913BCE">
        <w:rPr>
          <w:rFonts w:cs="Arial"/>
          <w:bCs/>
          <w:szCs w:val="20"/>
          <w:lang w:val="en-US"/>
        </w:rPr>
        <w:t xml:space="preserve"> within the</w:t>
      </w:r>
      <w:r w:rsidR="008E5989">
        <w:rPr>
          <w:rFonts w:cs="Arial"/>
          <w:bCs/>
          <w:szCs w:val="20"/>
          <w:lang w:val="en-US"/>
        </w:rPr>
        <w:t>ir</w:t>
      </w:r>
      <w:r w:rsidR="00913BCE">
        <w:rPr>
          <w:rFonts w:cs="Arial"/>
          <w:bCs/>
          <w:szCs w:val="20"/>
          <w:lang w:val="en-US"/>
        </w:rPr>
        <w:t xml:space="preserve"> community.</w:t>
      </w:r>
    </w:p>
    <w:p w14:paraId="1E185393" w14:textId="6145E4FD" w:rsidR="00B97CB7" w:rsidRPr="00420572" w:rsidRDefault="00B97CB7" w:rsidP="00B97CB7">
      <w:pPr>
        <w:rPr>
          <w:rFonts w:cs="Arial"/>
          <w:bCs/>
          <w:szCs w:val="20"/>
          <w:lang w:val="en-US"/>
        </w:rPr>
      </w:pPr>
      <w:r w:rsidRPr="00420572">
        <w:rPr>
          <w:rFonts w:cs="Arial"/>
          <w:bCs/>
          <w:szCs w:val="20"/>
          <w:lang w:val="en-US"/>
        </w:rPr>
        <w:t>The Commission awaits the</w:t>
      </w:r>
      <w:r>
        <w:rPr>
          <w:rFonts w:cs="Arial"/>
          <w:bCs/>
          <w:szCs w:val="20"/>
          <w:lang w:val="en-US"/>
        </w:rPr>
        <w:t xml:space="preserve"> outcome of the required </w:t>
      </w:r>
      <w:r w:rsidR="008C27F7">
        <w:rPr>
          <w:rFonts w:cs="Arial"/>
          <w:bCs/>
          <w:szCs w:val="20"/>
          <w:lang w:val="en-US"/>
        </w:rPr>
        <w:t>Local Thriving Communit</w:t>
      </w:r>
      <w:r w:rsidR="005215DA">
        <w:rPr>
          <w:rFonts w:cs="Arial"/>
          <w:bCs/>
          <w:szCs w:val="20"/>
          <w:lang w:val="en-US"/>
        </w:rPr>
        <w:t xml:space="preserve">ies </w:t>
      </w:r>
      <w:r>
        <w:rPr>
          <w:rFonts w:cs="Arial"/>
          <w:bCs/>
          <w:szCs w:val="20"/>
          <w:lang w:val="en-US"/>
        </w:rPr>
        <w:t>consultations with communities</w:t>
      </w:r>
      <w:r w:rsidR="005215DA">
        <w:rPr>
          <w:rFonts w:cs="Arial"/>
          <w:bCs/>
          <w:szCs w:val="20"/>
          <w:lang w:val="en-US"/>
        </w:rPr>
        <w:t xml:space="preserve"> </w:t>
      </w:r>
      <w:r>
        <w:rPr>
          <w:rFonts w:cs="Arial"/>
          <w:bCs/>
          <w:szCs w:val="20"/>
          <w:lang w:val="en-US"/>
        </w:rPr>
        <w:t xml:space="preserve">and a decision </w:t>
      </w:r>
      <w:r w:rsidRPr="00420572">
        <w:rPr>
          <w:rFonts w:cs="Arial"/>
          <w:bCs/>
          <w:szCs w:val="20"/>
          <w:lang w:val="en-US"/>
        </w:rPr>
        <w:t>on its future.</w:t>
      </w:r>
    </w:p>
    <w:p w14:paraId="264B02B3" w14:textId="77777777" w:rsidR="00B97CB7" w:rsidRDefault="00B97CB7" w:rsidP="00B97CB7">
      <w:pPr>
        <w:rPr>
          <w:rFonts w:cs="Arial"/>
          <w:b/>
          <w:bCs/>
          <w:szCs w:val="20"/>
          <w:lang w:val="en-US"/>
        </w:rPr>
      </w:pPr>
    </w:p>
    <w:p w14:paraId="26B34DC4" w14:textId="77777777" w:rsidR="00B97CB7" w:rsidRPr="008E7494" w:rsidRDefault="00B97CB7" w:rsidP="00B97CB7">
      <w:pPr>
        <w:rPr>
          <w:rFonts w:cs="Arial"/>
          <w:b/>
          <w:bCs/>
          <w:szCs w:val="20"/>
          <w:lang w:val="en-US"/>
        </w:rPr>
      </w:pPr>
      <w:r w:rsidRPr="008E7494">
        <w:rPr>
          <w:rFonts w:cs="Arial"/>
          <w:b/>
          <w:bCs/>
          <w:szCs w:val="20"/>
          <w:lang w:val="en-US"/>
        </w:rPr>
        <w:t>David Glasgow</w:t>
      </w:r>
      <w:r>
        <w:rPr>
          <w:rFonts w:cs="Arial"/>
          <w:b/>
          <w:bCs/>
          <w:szCs w:val="20"/>
          <w:lang w:val="en-US"/>
        </w:rPr>
        <w:t>, AM</w:t>
      </w:r>
    </w:p>
    <w:p w14:paraId="47BB2FA5" w14:textId="77777777" w:rsidR="00B97CB7" w:rsidRDefault="00B97CB7" w:rsidP="00B97CB7">
      <w:pPr>
        <w:widowControl w:val="0"/>
        <w:autoSpaceDE w:val="0"/>
        <w:autoSpaceDN w:val="0"/>
        <w:adjustRightInd w:val="0"/>
        <w:rPr>
          <w:rFonts w:cs="Arial"/>
          <w:b/>
          <w:bCs/>
          <w:szCs w:val="20"/>
          <w:lang w:val="en-US"/>
        </w:rPr>
      </w:pPr>
      <w:r w:rsidRPr="008E7494">
        <w:rPr>
          <w:rFonts w:cs="Arial"/>
          <w:b/>
          <w:bCs/>
          <w:szCs w:val="20"/>
          <w:lang w:val="en-US"/>
        </w:rPr>
        <w:t>Family Responsibilities Commissioner</w:t>
      </w:r>
    </w:p>
    <w:p w14:paraId="23A84A53" w14:textId="77777777" w:rsidR="00C411FD" w:rsidRPr="003E09C0" w:rsidRDefault="00C411FD" w:rsidP="00AA06CE">
      <w:pPr>
        <w:rPr>
          <w:lang w:val="en-US" w:eastAsia="en-AU"/>
        </w:rPr>
      </w:pPr>
      <w:bookmarkStart w:id="1" w:name="_GoBack"/>
      <w:bookmarkEnd w:id="1"/>
    </w:p>
    <w:sectPr w:rsidR="00C411FD" w:rsidRPr="003E09C0" w:rsidSect="00AA06CE">
      <w:headerReference w:type="even" r:id="rId11"/>
      <w:headerReference w:type="default" r:id="rId12"/>
      <w:headerReference w:type="first" r:id="rId13"/>
      <w:footnotePr>
        <w:numRestart w:val="eachSect"/>
      </w:footnotePr>
      <w:pgSz w:w="11906" w:h="16838"/>
      <w:pgMar w:top="2948" w:right="1418" w:bottom="567"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71C2" w14:textId="77777777" w:rsidR="00AA06CE" w:rsidRDefault="00AA06CE" w:rsidP="00AA06CE">
    <w:pPr>
      <w:pStyle w:val="Header"/>
    </w:pPr>
  </w:p>
  <w:p w14:paraId="032E198A" w14:textId="77777777" w:rsidR="00AA06CE" w:rsidRDefault="00AA06CE" w:rsidP="00AA06CE">
    <w:pPr>
      <w:pStyle w:val="Header"/>
    </w:pPr>
  </w:p>
  <w:p w14:paraId="1A967291" w14:textId="77777777" w:rsidR="00AA06CE" w:rsidRDefault="00AA06CE" w:rsidP="00AA06CE">
    <w:pPr>
      <w:pStyle w:val="Header"/>
    </w:pPr>
  </w:p>
  <w:p w14:paraId="18B5D755" w14:textId="77777777" w:rsidR="00AA06CE" w:rsidRDefault="00AA06CE" w:rsidP="00AA06CE">
    <w:pPr>
      <w:pStyle w:val="Header"/>
    </w:pPr>
  </w:p>
  <w:p w14:paraId="13129A45" w14:textId="77777777" w:rsidR="00AA06CE" w:rsidRDefault="00AA06CE" w:rsidP="00AA06CE">
    <w:pPr>
      <w:pStyle w:val="Header"/>
    </w:pPr>
  </w:p>
  <w:p w14:paraId="4BB4F9FF" w14:textId="77777777" w:rsidR="00AA06CE" w:rsidRDefault="00AA06CE" w:rsidP="00AA06CE">
    <w:pPr>
      <w:pStyle w:val="Header"/>
    </w:pPr>
    <w:r>
      <w:t>COMMISSIONER</w:t>
    </w:r>
  </w:p>
  <w:p w14:paraId="252C6FC9" w14:textId="62BC64BA" w:rsidR="004C0B80" w:rsidRPr="00AA06CE" w:rsidRDefault="00AA06CE" w:rsidP="00AA06CE">
    <w:pPr>
      <w:pStyle w:val="Header"/>
    </w:pPr>
    <w:r>
      <w:t>GLASGOW’S MESSAGE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6CE"/>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pc.qld.gov.au/inquiries/service-delivery-in-queenslands-remote-and-discrete-indigenous-communiti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s.gov.au/families-and-children-programs-services-welfare-quarantining-income-management/strategic-review-of-cape-york-income-management" TargetMode="External"/><Relationship Id="rId4" Type="http://schemas.openxmlformats.org/officeDocument/2006/relationships/settings" Target="settings.xml"/><Relationship Id="rId9" Type="http://schemas.openxmlformats.org/officeDocument/2006/relationships/hyperlink" Target="https://qpc.blob.core.windows.net/wordpress/2018/06/Service-delivery-Final-Repo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02965-858B-4B28-94C3-0E6A0A26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2019-11-08T05:57:00Z</dcterms:created>
  <dcterms:modified xsi:type="dcterms:W3CDTF">2019-11-11T01:05:00Z</dcterms:modified>
</cp:coreProperties>
</file>